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jc w:val="center"/>
        <w:rPr>
          <w:rFonts w:ascii="宋体" w:hAnsi="宋体" w:eastAsiaTheme="minorEastAsia"/>
          <w:b/>
          <w:sz w:val="32"/>
          <w:szCs w:val="32"/>
          <w:lang w:eastAsia="zh-CN"/>
        </w:rPr>
      </w:pPr>
      <w:r>
        <w:rPr>
          <w:rFonts w:hint="eastAsia" w:ascii="宋体" w:hAnsi="宋体"/>
          <w:b/>
          <w:sz w:val="32"/>
          <w:szCs w:val="32"/>
          <w:lang w:eastAsia="zh-CN"/>
        </w:rPr>
        <w:t>《</w:t>
      </w:r>
      <w:r>
        <w:rPr>
          <w:rFonts w:hint="eastAsia" w:asciiTheme="minorEastAsia" w:hAnsiTheme="minorEastAsia" w:eastAsiaTheme="minorEastAsia"/>
          <w:b/>
          <w:sz w:val="32"/>
          <w:szCs w:val="32"/>
          <w:lang w:eastAsia="zh-CN"/>
        </w:rPr>
        <w:t>微观</w:t>
      </w:r>
      <w:r>
        <w:rPr>
          <w:rFonts w:hint="eastAsia" w:ascii="宋体" w:hAnsi="宋体" w:eastAsiaTheme="minorEastAsia"/>
          <w:b/>
          <w:sz w:val="32"/>
          <w:szCs w:val="32"/>
          <w:lang w:eastAsia="zh-CN"/>
        </w:rPr>
        <w:t>经济学</w:t>
      </w:r>
      <w:r>
        <w:rPr>
          <w:rFonts w:hint="eastAsia" w:ascii="宋体" w:hAnsi="宋体"/>
          <w:b/>
          <w:sz w:val="32"/>
          <w:szCs w:val="32"/>
          <w:lang w:eastAsia="zh-CN"/>
        </w:rPr>
        <w:t>》课程教学大纲</w:t>
      </w:r>
    </w:p>
    <w:tbl>
      <w:tblPr>
        <w:tblStyle w:val="5"/>
        <w:tblW w:w="940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
        <w:gridCol w:w="1350"/>
        <w:gridCol w:w="359"/>
        <w:gridCol w:w="618"/>
        <w:gridCol w:w="1483"/>
        <w:gridCol w:w="1630"/>
        <w:gridCol w:w="877"/>
        <w:gridCol w:w="688"/>
        <w:gridCol w:w="483"/>
        <w:gridCol w:w="1082"/>
      </w:tblGrid>
      <w:tr>
        <w:tblPrEx>
          <w:tblLayout w:type="fixed"/>
          <w:tblCellMar>
            <w:top w:w="0" w:type="dxa"/>
            <w:left w:w="108" w:type="dxa"/>
            <w:bottom w:w="0" w:type="dxa"/>
            <w:right w:w="108" w:type="dxa"/>
          </w:tblCellMar>
        </w:tblPrEx>
        <w:trPr>
          <w:trHeight w:val="340" w:hRule="atLeast"/>
          <w:jc w:val="center"/>
        </w:trPr>
        <w:tc>
          <w:tcPr>
            <w:tcW w:w="4641" w:type="dxa"/>
            <w:gridSpan w:val="5"/>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课程名称：</w:t>
            </w:r>
            <w:r>
              <w:rPr>
                <w:rFonts w:hint="eastAsia" w:ascii="宋体" w:hAnsi="宋体" w:eastAsia="宋体"/>
                <w:sz w:val="21"/>
                <w:szCs w:val="21"/>
                <w:lang w:eastAsia="zh-CN"/>
              </w:rPr>
              <w:t xml:space="preserve"> 西方经济学</w:t>
            </w:r>
          </w:p>
        </w:tc>
        <w:tc>
          <w:tcPr>
            <w:tcW w:w="4760" w:type="dxa"/>
            <w:gridSpan w:val="5"/>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课程类别（必修/选修）：必修</w:t>
            </w:r>
            <w:r>
              <w:rPr>
                <w:rFonts w:ascii="宋体" w:hAnsi="宋体" w:eastAsia="宋体"/>
                <w:sz w:val="21"/>
                <w:szCs w:val="21"/>
                <w:lang w:eastAsia="zh-CN"/>
              </w:rPr>
              <w:t>课</w:t>
            </w:r>
          </w:p>
        </w:tc>
      </w:tr>
      <w:tr>
        <w:tblPrEx>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rPr>
              <w:t>课程英文名称：</w:t>
            </w:r>
            <w:r>
              <w:rPr>
                <w:rFonts w:hint="eastAsia" w:ascii="宋体" w:hAnsi="宋体" w:eastAsia="宋体"/>
                <w:sz w:val="21"/>
                <w:szCs w:val="21"/>
              </w:rPr>
              <w:t>micro-economics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641" w:type="dxa"/>
            <w:gridSpan w:val="5"/>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rPr>
              <w:t>总学时/周学时/学分：</w:t>
            </w:r>
            <w:r>
              <w:rPr>
                <w:rFonts w:hint="eastAsia" w:ascii="宋体" w:hAnsi="宋体" w:eastAsia="宋体"/>
                <w:sz w:val="21"/>
                <w:szCs w:val="21"/>
                <w:lang w:eastAsia="zh-CN"/>
              </w:rPr>
              <w:t>4</w:t>
            </w:r>
            <w:r>
              <w:rPr>
                <w:rFonts w:ascii="宋体" w:hAnsi="宋体" w:eastAsia="宋体"/>
                <w:sz w:val="21"/>
                <w:szCs w:val="21"/>
                <w:lang w:eastAsia="zh-CN"/>
              </w:rPr>
              <w:t>5</w:t>
            </w:r>
            <w:r>
              <w:rPr>
                <w:rFonts w:hint="eastAsia" w:ascii="宋体" w:hAnsi="宋体" w:eastAsia="宋体"/>
                <w:sz w:val="21"/>
                <w:szCs w:val="21"/>
                <w:lang w:eastAsia="zh-CN"/>
              </w:rPr>
              <w:t>/3/3</w:t>
            </w:r>
          </w:p>
        </w:tc>
        <w:tc>
          <w:tcPr>
            <w:tcW w:w="4760" w:type="dxa"/>
            <w:gridSpan w:val="5"/>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其中实验学时：</w:t>
            </w:r>
            <w:r>
              <w:rPr>
                <w:rFonts w:hint="eastAsia" w:ascii="宋体" w:hAnsi="宋体" w:eastAsia="宋体"/>
                <w:sz w:val="21"/>
                <w:szCs w:val="21"/>
                <w:lang w:eastAsia="zh-CN"/>
              </w:rPr>
              <w:t>0</w:t>
            </w:r>
          </w:p>
        </w:tc>
      </w:tr>
      <w:tr>
        <w:tblPrEx>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先修课程：</w:t>
            </w:r>
            <w:r>
              <w:rPr>
                <w:rFonts w:hint="eastAsia" w:ascii="宋体" w:hAnsi="宋体" w:eastAsia="宋体"/>
                <w:sz w:val="21"/>
                <w:szCs w:val="21"/>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641" w:type="dxa"/>
            <w:gridSpan w:val="5"/>
            <w:vAlign w:val="center"/>
          </w:tcPr>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授课时间：</w:t>
            </w:r>
          </w:p>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sz w:val="21"/>
                <w:szCs w:val="21"/>
                <w:lang w:eastAsia="zh-CN"/>
              </w:rPr>
              <w:t>理论课集</w:t>
            </w:r>
            <w:r>
              <w:rPr>
                <w:rFonts w:ascii="宋体" w:hAnsi="宋体" w:eastAsia="宋体"/>
                <w:sz w:val="21"/>
                <w:szCs w:val="21"/>
                <w:lang w:eastAsia="zh-CN"/>
              </w:rPr>
              <w:t>中授课：</w:t>
            </w:r>
          </w:p>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sz w:val="21"/>
                <w:szCs w:val="21"/>
                <w:lang w:eastAsia="zh-CN"/>
              </w:rPr>
              <w:t>1</w:t>
            </w:r>
            <w:r>
              <w:rPr>
                <w:rFonts w:ascii="宋体" w:hAnsi="宋体" w:eastAsia="宋体"/>
                <w:sz w:val="21"/>
                <w:szCs w:val="21"/>
                <w:lang w:eastAsia="zh-CN"/>
              </w:rPr>
              <w:t>9</w:t>
            </w:r>
            <w:r>
              <w:rPr>
                <w:rFonts w:hint="eastAsia" w:ascii="宋体" w:hAnsi="宋体" w:eastAsia="宋体"/>
                <w:sz w:val="21"/>
                <w:szCs w:val="21"/>
                <w:lang w:eastAsia="zh-CN"/>
              </w:rPr>
              <w:t xml:space="preserve">粤台经济与金融专业必修班 </w:t>
            </w:r>
          </w:p>
          <w:p>
            <w:pPr>
              <w:tabs>
                <w:tab w:val="left" w:pos="1440"/>
              </w:tabs>
              <w:spacing w:after="0" w:line="0" w:lineRule="atLeast"/>
              <w:outlineLvl w:val="0"/>
              <w:rPr>
                <w:rFonts w:ascii="宋体" w:hAnsi="宋体" w:eastAsia="宋体"/>
                <w:sz w:val="21"/>
                <w:szCs w:val="21"/>
                <w:lang w:eastAsia="zh-CN"/>
              </w:rPr>
            </w:pPr>
          </w:p>
          <w:p>
            <w:pPr>
              <w:tabs>
                <w:tab w:val="left" w:pos="1440"/>
              </w:tabs>
              <w:spacing w:after="0"/>
              <w:outlineLvl w:val="0"/>
              <w:rPr>
                <w:rFonts w:ascii="宋体" w:hAnsi="宋体" w:eastAsia="宋体"/>
                <w:sz w:val="21"/>
                <w:szCs w:val="21"/>
                <w:lang w:eastAsia="zh-CN"/>
              </w:rPr>
            </w:pPr>
            <w:r>
              <w:rPr>
                <w:rFonts w:ascii="宋体" w:hAnsi="宋体" w:eastAsia="宋体"/>
                <w:sz w:val="21"/>
                <w:szCs w:val="21"/>
                <w:lang w:eastAsia="zh-CN"/>
              </w:rPr>
              <w:t>课</w:t>
            </w:r>
            <w:r>
              <w:rPr>
                <w:rFonts w:hint="eastAsia" w:ascii="宋体" w:hAnsi="宋体" w:eastAsia="宋体"/>
                <w:sz w:val="21"/>
                <w:szCs w:val="21"/>
                <w:lang w:eastAsia="zh-CN"/>
              </w:rPr>
              <w:t>程部分内容分</w:t>
            </w:r>
            <w:r>
              <w:rPr>
                <w:rFonts w:ascii="宋体" w:hAnsi="宋体" w:eastAsia="宋体"/>
                <w:sz w:val="21"/>
                <w:szCs w:val="21"/>
                <w:lang w:eastAsia="zh-CN"/>
              </w:rPr>
              <w:t>小</w:t>
            </w:r>
            <w:r>
              <w:rPr>
                <w:rFonts w:hint="eastAsia" w:ascii="宋体" w:hAnsi="宋体" w:eastAsia="宋体"/>
                <w:sz w:val="21"/>
                <w:szCs w:val="21"/>
                <w:lang w:eastAsia="zh-CN"/>
              </w:rPr>
              <w:t>组讨论。</w:t>
            </w:r>
          </w:p>
          <w:p>
            <w:pPr>
              <w:tabs>
                <w:tab w:val="left" w:pos="1440"/>
              </w:tabs>
              <w:spacing w:after="0"/>
              <w:outlineLvl w:val="0"/>
              <w:rPr>
                <w:rFonts w:ascii="宋体" w:hAnsi="宋体" w:eastAsia="宋体"/>
                <w:sz w:val="21"/>
                <w:szCs w:val="21"/>
                <w:lang w:eastAsia="zh-CN"/>
              </w:rPr>
            </w:pPr>
          </w:p>
        </w:tc>
        <w:tc>
          <w:tcPr>
            <w:tcW w:w="4760" w:type="dxa"/>
            <w:gridSpan w:val="5"/>
            <w:vAlign w:val="center"/>
          </w:tcPr>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授课地点：</w:t>
            </w:r>
          </w:p>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sz w:val="21"/>
                <w:szCs w:val="21"/>
                <w:lang w:eastAsia="zh-CN"/>
              </w:rPr>
              <w:t>理论课集</w:t>
            </w:r>
            <w:r>
              <w:rPr>
                <w:rFonts w:ascii="宋体" w:hAnsi="宋体" w:eastAsia="宋体"/>
                <w:sz w:val="21"/>
                <w:szCs w:val="21"/>
                <w:lang w:eastAsia="zh-CN"/>
              </w:rPr>
              <w:t>中授课：</w:t>
            </w:r>
          </w:p>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实验</w:t>
            </w:r>
            <w:r>
              <w:rPr>
                <w:rFonts w:hint="eastAsia" w:ascii="宋体" w:hAnsi="宋体" w:eastAsia="宋体"/>
                <w:sz w:val="21"/>
                <w:szCs w:val="21"/>
                <w:lang w:eastAsia="zh-CN"/>
              </w:rPr>
              <w:t>楼</w:t>
            </w:r>
          </w:p>
          <w:p>
            <w:pPr>
              <w:tabs>
                <w:tab w:val="left" w:pos="1440"/>
              </w:tabs>
              <w:spacing w:after="0"/>
              <w:outlineLvl w:val="0"/>
              <w:rPr>
                <w:rFonts w:ascii="宋体" w:hAnsi="宋体" w:eastAsia="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 xml:space="preserve">授课对象： </w:t>
            </w:r>
            <w:r>
              <w:rPr>
                <w:rFonts w:hint="eastAsia" w:ascii="宋体" w:hAnsi="宋体" w:eastAsia="宋体"/>
                <w:sz w:val="21"/>
                <w:szCs w:val="21"/>
                <w:lang w:eastAsia="zh-CN"/>
              </w:rPr>
              <w:t>1</w:t>
            </w:r>
            <w:r>
              <w:rPr>
                <w:rFonts w:ascii="宋体" w:hAnsi="宋体" w:eastAsia="宋体"/>
                <w:sz w:val="21"/>
                <w:szCs w:val="21"/>
                <w:lang w:eastAsia="zh-CN"/>
              </w:rPr>
              <w:t>9</w:t>
            </w:r>
            <w:r>
              <w:rPr>
                <w:rFonts w:hint="eastAsia" w:ascii="宋体" w:hAnsi="宋体" w:eastAsia="宋体"/>
                <w:sz w:val="21"/>
                <w:szCs w:val="21"/>
                <w:lang w:eastAsia="zh-CN"/>
              </w:rPr>
              <w:t>粤台经济与金融专业</w:t>
            </w:r>
            <w:r>
              <w:rPr>
                <w:rFonts w:hint="eastAsia" w:ascii="宋体" w:hAnsi="宋体" w:eastAsia="宋体"/>
                <w:b/>
                <w:sz w:val="21"/>
                <w:szCs w:val="21"/>
                <w:lang w:eastAsia="zh-CN"/>
              </w:rPr>
              <w:t>必修</w:t>
            </w:r>
            <w:r>
              <w:rPr>
                <w:rFonts w:hint="eastAsia" w:ascii="宋体" w:hAnsi="宋体" w:eastAsia="宋体"/>
                <w:sz w:val="21"/>
                <w:szCs w:val="21"/>
                <w:lang w:eastAsia="zh-CN"/>
              </w:rPr>
              <w:t>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0" w:lineRule="atLeast"/>
              <w:outlineLvl w:val="0"/>
              <w:rPr>
                <w:rFonts w:ascii="宋体" w:hAnsi="宋体"/>
                <w:sz w:val="21"/>
                <w:szCs w:val="21"/>
                <w:lang w:eastAsia="zh-CN"/>
              </w:rPr>
            </w:pPr>
            <w:r>
              <w:rPr>
                <w:rFonts w:hint="eastAsia" w:ascii="宋体" w:hAnsi="宋体" w:eastAsia="宋体"/>
                <w:b/>
                <w:sz w:val="21"/>
                <w:szCs w:val="21"/>
                <w:lang w:eastAsia="zh-CN"/>
              </w:rPr>
              <w:t>开课院系：</w:t>
            </w:r>
            <w:r>
              <w:rPr>
                <w:rFonts w:hint="eastAsia" w:ascii="宋体" w:hAnsi="宋体" w:eastAsia="宋体"/>
                <w:sz w:val="21"/>
                <w:szCs w:val="21"/>
                <w:lang w:eastAsia="zh-CN"/>
              </w:rPr>
              <w:t xml:space="preserve"> 经济与金融系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任课教师姓名/职称：</w:t>
            </w:r>
            <w:r>
              <w:rPr>
                <w:rFonts w:hint="eastAsia" w:ascii="宋体" w:hAnsi="宋体" w:eastAsia="宋体"/>
                <w:sz w:val="21"/>
                <w:szCs w:val="21"/>
                <w:lang w:eastAsia="zh-CN"/>
              </w:rPr>
              <w:t xml:space="preserve"> </w:t>
            </w:r>
            <w:r>
              <w:rPr>
                <w:rFonts w:hint="eastAsia" w:asciiTheme="minorEastAsia" w:hAnsiTheme="minorEastAsia" w:eastAsiaTheme="minorEastAsia"/>
                <w:lang w:eastAsia="zh-CN"/>
              </w:rPr>
              <w:t>黄灯奎</w:t>
            </w:r>
            <w:r>
              <w:rPr>
                <w:rFonts w:hint="eastAsia" w:ascii="宋体" w:hAnsi="宋体" w:eastAsia="宋体"/>
                <w:sz w:val="21"/>
                <w:szCs w:val="21"/>
                <w:lang w:eastAsia="zh-CN"/>
              </w:rPr>
              <w:t>/副教授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641" w:type="dxa"/>
            <w:gridSpan w:val="5"/>
            <w:vAlign w:val="center"/>
          </w:tcPr>
          <w:p>
            <w:pPr>
              <w:tabs>
                <w:tab w:val="left" w:pos="1440"/>
              </w:tabs>
              <w:spacing w:after="0"/>
              <w:outlineLvl w:val="0"/>
              <w:rPr>
                <w:rFonts w:ascii="宋体" w:hAnsi="宋体"/>
                <w:sz w:val="21"/>
                <w:szCs w:val="21"/>
                <w:lang w:eastAsia="zh-TW"/>
              </w:rPr>
            </w:pPr>
            <w:r>
              <w:rPr>
                <w:rFonts w:hint="eastAsia" w:ascii="宋体" w:hAnsi="宋体" w:eastAsia="宋体"/>
                <w:b/>
                <w:sz w:val="21"/>
                <w:szCs w:val="21"/>
                <w:lang w:eastAsia="zh-CN"/>
              </w:rPr>
              <w:t>联系电话：</w:t>
            </w:r>
            <w:r>
              <w:rPr>
                <w:rFonts w:hint="eastAsia" w:ascii="宋体" w:hAnsi="宋体" w:eastAsia="宋体"/>
                <w:sz w:val="21"/>
                <w:szCs w:val="21"/>
                <w:lang w:eastAsia="zh-CN"/>
              </w:rPr>
              <w:t xml:space="preserve"> 135</w:t>
            </w:r>
            <w:r>
              <w:rPr>
                <w:rFonts w:ascii="宋体" w:hAnsi="宋体" w:eastAsia="宋体"/>
                <w:sz w:val="21"/>
                <w:szCs w:val="21"/>
                <w:lang w:eastAsia="zh-CN"/>
              </w:rPr>
              <w:t>32887200</w:t>
            </w:r>
          </w:p>
        </w:tc>
        <w:tc>
          <w:tcPr>
            <w:tcW w:w="4760" w:type="dxa"/>
            <w:gridSpan w:val="5"/>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rPr>
              <w:t>Email:</w:t>
            </w:r>
            <w:r>
              <w:rPr>
                <w:rFonts w:hint="eastAsia" w:ascii="宋体" w:hAnsi="宋体" w:eastAsia="宋体"/>
                <w:b/>
                <w:sz w:val="21"/>
                <w:szCs w:val="21"/>
                <w:lang w:eastAsia="zh-CN"/>
              </w:rPr>
              <w:t xml:space="preserve"> </w:t>
            </w:r>
            <w:r>
              <w:rPr>
                <w:rFonts w:ascii="宋体" w:hAnsi="宋体" w:eastAsia="宋体"/>
                <w:bCs/>
                <w:sz w:val="21"/>
                <w:szCs w:val="21"/>
                <w:lang w:eastAsia="zh-CN"/>
              </w:rPr>
              <w:t>1485601532</w:t>
            </w:r>
            <w:r>
              <w:rPr>
                <w:rFonts w:hint="eastAsia" w:ascii="宋体" w:hAnsi="宋体" w:eastAsia="宋体"/>
                <w:bCs/>
                <w:sz w:val="21"/>
                <w:szCs w:val="21"/>
                <w:lang w:eastAsia="zh-CN"/>
              </w:rPr>
              <w:t>@qq.com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答疑时间、地点与方式：</w:t>
            </w:r>
            <w:r>
              <w:rPr>
                <w:rFonts w:hint="eastAsia" w:ascii="宋体" w:hAnsi="宋体" w:eastAsia="宋体"/>
                <w:sz w:val="21"/>
                <w:szCs w:val="21"/>
                <w:lang w:eastAsia="zh-CN"/>
              </w:rPr>
              <w:t>课</w:t>
            </w:r>
            <w:r>
              <w:rPr>
                <w:rFonts w:ascii="宋体" w:hAnsi="宋体" w:eastAsia="宋体"/>
                <w:sz w:val="21"/>
                <w:szCs w:val="21"/>
                <w:lang w:eastAsia="zh-CN"/>
              </w:rPr>
              <w:t>前、课后</w:t>
            </w:r>
            <w:r>
              <w:rPr>
                <w:rFonts w:hint="eastAsia" w:ascii="宋体" w:hAnsi="宋体" w:eastAsia="宋体"/>
                <w:sz w:val="21"/>
                <w:szCs w:val="21"/>
                <w:lang w:eastAsia="zh-CN"/>
              </w:rPr>
              <w:t>，教室</w:t>
            </w:r>
            <w:r>
              <w:rPr>
                <w:rFonts w:ascii="宋体" w:hAnsi="宋体" w:eastAsia="宋体"/>
                <w:sz w:val="21"/>
                <w:szCs w:val="21"/>
                <w:lang w:eastAsia="zh-CN"/>
              </w:rPr>
              <w:t>，交流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bCs/>
                <w:sz w:val="21"/>
                <w:szCs w:val="21"/>
                <w:lang w:eastAsia="zh-CN"/>
              </w:rPr>
              <w:t>课程考核方式：</w:t>
            </w:r>
            <w:r>
              <w:rPr>
                <w:rFonts w:hint="eastAsia" w:ascii="宋体" w:hAnsi="宋体" w:eastAsia="宋体"/>
                <w:sz w:val="21"/>
                <w:szCs w:val="21"/>
                <w:lang w:eastAsia="zh-CN"/>
              </w:rPr>
              <w:t>开卷</w:t>
            </w:r>
            <w:r>
              <w:rPr>
                <w:rFonts w:hint="eastAsia" w:ascii="宋体" w:hAnsi="宋体" w:eastAsia="宋体"/>
                <w:b/>
                <w:sz w:val="21"/>
                <w:szCs w:val="21"/>
                <w:lang w:eastAsia="zh-CN"/>
              </w:rPr>
              <w:t>（   ）</w:t>
            </w:r>
            <w:r>
              <w:rPr>
                <w:rFonts w:hint="eastAsia" w:ascii="宋体" w:hAnsi="宋体" w:eastAsia="宋体"/>
                <w:sz w:val="21"/>
                <w:szCs w:val="21"/>
                <w:lang w:eastAsia="zh-CN"/>
              </w:rPr>
              <w:t xml:space="preserve">     闭卷</w:t>
            </w:r>
            <w:r>
              <w:rPr>
                <w:rFonts w:hint="eastAsia" w:ascii="宋体" w:hAnsi="宋体" w:eastAsia="宋体"/>
                <w:b/>
                <w:sz w:val="21"/>
                <w:szCs w:val="21"/>
                <w:lang w:eastAsia="zh-CN"/>
              </w:rPr>
              <w:t xml:space="preserve">（ √）   </w:t>
            </w:r>
            <w:r>
              <w:rPr>
                <w:rFonts w:hint="eastAsia" w:ascii="宋体" w:hAnsi="宋体" w:eastAsia="宋体"/>
                <w:sz w:val="21"/>
                <w:szCs w:val="21"/>
                <w:lang w:eastAsia="zh-CN"/>
              </w:rPr>
              <w:t>课程论文</w:t>
            </w:r>
            <w:r>
              <w:rPr>
                <w:rFonts w:hint="eastAsia" w:ascii="宋体" w:hAnsi="宋体" w:eastAsia="宋体"/>
                <w:b/>
                <w:sz w:val="21"/>
                <w:szCs w:val="21"/>
                <w:lang w:eastAsia="zh-CN"/>
              </w:rPr>
              <w:t xml:space="preserve">（  ）   </w:t>
            </w:r>
            <w:r>
              <w:rPr>
                <w:rFonts w:hint="eastAsia" w:ascii="宋体" w:hAnsi="宋体" w:eastAsia="宋体"/>
                <w:sz w:val="21"/>
                <w:szCs w:val="21"/>
                <w:lang w:eastAsia="zh-CN"/>
              </w:rPr>
              <w:t>其它</w:t>
            </w:r>
            <w:r>
              <w:rPr>
                <w:rFonts w:hint="eastAsia" w:ascii="宋体" w:hAnsi="宋体" w:eastAsia="宋体"/>
                <w:b/>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numPr>
                <w:ilvl w:val="0"/>
                <w:numId w:val="1"/>
              </w:numPr>
              <w:tabs>
                <w:tab w:val="left" w:pos="1440"/>
              </w:tabs>
              <w:spacing w:after="0"/>
              <w:outlineLvl w:val="0"/>
              <w:rPr>
                <w:rFonts w:ascii="宋体" w:hAnsi="宋体" w:eastAsia="宋体"/>
                <w:bCs/>
                <w:sz w:val="21"/>
                <w:szCs w:val="21"/>
                <w:lang w:eastAsia="zh-CN"/>
              </w:rPr>
            </w:pPr>
            <w:r>
              <w:rPr>
                <w:rFonts w:hint="eastAsia" w:ascii="宋体" w:hAnsi="宋体" w:eastAsia="宋体"/>
                <w:b/>
                <w:bCs/>
                <w:sz w:val="21"/>
                <w:szCs w:val="21"/>
                <w:lang w:eastAsia="zh-CN"/>
              </w:rPr>
              <w:t>使用教材：</w:t>
            </w:r>
            <w:r>
              <w:rPr>
                <w:rFonts w:hint="eastAsia" w:ascii="宋体" w:hAnsi="宋体" w:eastAsia="宋体"/>
                <w:bCs/>
                <w:sz w:val="21"/>
                <w:szCs w:val="21"/>
                <w:lang w:eastAsia="zh-CN"/>
              </w:rPr>
              <w:t>西方经济学.上册/《西方经济学》编写组编.—北京：高等教育出版社：中国人民大学出版社，2</w:t>
            </w:r>
            <w:r>
              <w:rPr>
                <w:rFonts w:ascii="宋体" w:hAnsi="宋体" w:eastAsia="宋体"/>
                <w:bCs/>
                <w:sz w:val="21"/>
                <w:szCs w:val="21"/>
                <w:lang w:eastAsia="zh-CN"/>
              </w:rPr>
              <w:t>012.12</w:t>
            </w:r>
          </w:p>
          <w:p>
            <w:pPr>
              <w:tabs>
                <w:tab w:val="left" w:pos="1440"/>
              </w:tabs>
              <w:spacing w:after="0"/>
              <w:outlineLvl w:val="0"/>
              <w:rPr>
                <w:rFonts w:ascii="宋体" w:hAnsi="宋体" w:eastAsia="宋体"/>
                <w:b/>
                <w:bCs/>
                <w:sz w:val="21"/>
                <w:szCs w:val="21"/>
                <w:lang w:eastAsia="zh-CN"/>
              </w:rPr>
            </w:pPr>
            <w:r>
              <w:rPr>
                <w:rFonts w:hint="eastAsia" w:ascii="宋体" w:hAnsi="宋体" w:eastAsia="宋体"/>
                <w:b/>
                <w:bCs/>
                <w:sz w:val="21"/>
                <w:szCs w:val="21"/>
                <w:lang w:eastAsia="zh-CN"/>
              </w:rPr>
              <w:t>教学参考资料：</w:t>
            </w:r>
          </w:p>
          <w:p>
            <w:pPr>
              <w:tabs>
                <w:tab w:val="left" w:pos="1440"/>
              </w:tabs>
              <w:spacing w:after="0"/>
              <w:outlineLvl w:val="0"/>
              <w:rPr>
                <w:rFonts w:ascii="宋体" w:hAnsi="宋体" w:eastAsia="宋体"/>
                <w:bCs/>
                <w:sz w:val="21"/>
                <w:szCs w:val="21"/>
                <w:lang w:eastAsia="zh-CN"/>
              </w:rPr>
            </w:pPr>
            <w:r>
              <w:rPr>
                <w:rFonts w:hint="eastAsia" w:ascii="宋体" w:hAnsi="宋体" w:eastAsia="宋体"/>
                <w:bCs/>
                <w:sz w:val="21"/>
                <w:szCs w:val="21"/>
                <w:lang w:eastAsia="zh-CN"/>
              </w:rPr>
              <w:t>1.林秀清等主编，《经济学基础》，南京大学出版，2015</w:t>
            </w:r>
          </w:p>
          <w:p>
            <w:pPr>
              <w:numPr>
                <w:ilvl w:val="0"/>
                <w:numId w:val="1"/>
              </w:numPr>
              <w:tabs>
                <w:tab w:val="left" w:pos="1440"/>
              </w:tabs>
              <w:spacing w:after="0"/>
              <w:outlineLvl w:val="0"/>
              <w:rPr>
                <w:rFonts w:ascii="宋体" w:hAnsi="宋体" w:eastAsia="宋体"/>
                <w:bCs/>
                <w:sz w:val="21"/>
                <w:szCs w:val="21"/>
                <w:lang w:eastAsia="zh-CN"/>
              </w:rPr>
            </w:pPr>
            <w:r>
              <w:rPr>
                <w:rFonts w:hint="eastAsia" w:ascii="宋体" w:hAnsi="宋体" w:eastAsia="宋体"/>
                <w:bCs/>
                <w:sz w:val="21"/>
                <w:szCs w:val="21"/>
                <w:lang w:eastAsia="zh-CN"/>
              </w:rPr>
              <w:t>何璋主编， 《西方经济学》，中国财政经济出版社，2010年6月第2版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课程简介：</w:t>
            </w:r>
          </w:p>
          <w:p>
            <w:pPr>
              <w:spacing w:after="0" w:line="400" w:lineRule="exact"/>
              <w:ind w:left="150" w:right="226" w:firstLine="480" w:firstLineChars="200"/>
              <w:rPr>
                <w:rFonts w:ascii="宋体" w:hAnsi="宋体" w:eastAsia="宋体"/>
                <w:sz w:val="21"/>
                <w:szCs w:val="21"/>
                <w:lang w:eastAsia="zh-CN"/>
              </w:rPr>
            </w:pPr>
            <w:r>
              <w:rPr>
                <w:rFonts w:hint="eastAsia" w:eastAsia="宋体" w:cs="宋体"/>
                <w:color w:val="333333"/>
                <w:szCs w:val="21"/>
                <w:shd w:val="clear" w:color="auto" w:fill="FFFFFF"/>
                <w:lang w:eastAsia="zh-CN"/>
              </w:rPr>
              <w:t>《西方经济学》微观部分，是经济类专业和软件专业的一门专业基础课，</w:t>
            </w:r>
            <w:r>
              <w:rPr>
                <w:rFonts w:ascii="方正书宋简体" w:hAnsi="方正书宋简体" w:eastAsia="方正书宋简体" w:cs="方正书宋简体"/>
                <w:color w:val="333333"/>
                <w:szCs w:val="21"/>
                <w:shd w:val="clear" w:color="auto" w:fill="FFFFFF"/>
                <w:lang w:eastAsia="zh-CN"/>
              </w:rPr>
              <w:t>主要内容包括：需求、供给与均衡价格，消费者行为理论，生产</w:t>
            </w:r>
            <w:r>
              <w:rPr>
                <w:rFonts w:hint="eastAsia" w:ascii="方正书宋简体" w:hAnsi="方正书宋简体" w:eastAsia="方正书宋简体" w:cs="方正书宋简体"/>
                <w:color w:val="333333"/>
                <w:szCs w:val="21"/>
                <w:shd w:val="clear" w:color="auto" w:fill="FFFFFF"/>
                <w:lang w:eastAsia="zh-CN"/>
              </w:rPr>
              <w:t>函数</w:t>
            </w:r>
            <w:r>
              <w:rPr>
                <w:rFonts w:ascii="方正书宋简体" w:hAnsi="方正书宋简体" w:eastAsia="方正书宋简体" w:cs="方正书宋简体"/>
                <w:color w:val="333333"/>
                <w:szCs w:val="21"/>
                <w:shd w:val="clear" w:color="auto" w:fill="FFFFFF"/>
                <w:lang w:eastAsia="zh-CN"/>
              </w:rPr>
              <w:t>，成本理论，市场理论，要素分配理论，微观经济政策</w:t>
            </w:r>
            <w:r>
              <w:rPr>
                <w:rFonts w:hint="eastAsia" w:ascii="方正书宋简体" w:hAnsi="方正书宋简体" w:eastAsia="方正书宋简体" w:cs="方正书宋简体"/>
                <w:color w:val="333333"/>
                <w:szCs w:val="21"/>
                <w:shd w:val="clear" w:color="auto" w:fill="FFFFFF"/>
                <w:lang w:eastAsia="zh-CN"/>
              </w:rPr>
              <w:t>，博弈论，市场失灵等</w:t>
            </w:r>
            <w:r>
              <w:rPr>
                <w:rFonts w:ascii="方正书宋简体" w:hAnsi="方正书宋简体" w:eastAsia="方正书宋简体" w:cs="方正书宋简体"/>
                <w:color w:val="333333"/>
                <w:szCs w:val="21"/>
                <w:shd w:val="clear" w:color="auto" w:fill="FFFFFF"/>
                <w:lang w:eastAsia="zh-CN"/>
              </w:rPr>
              <w:t>。通过本课程的学习，使学生对</w:t>
            </w:r>
            <w:r>
              <w:rPr>
                <w:rFonts w:hint="eastAsia" w:ascii="方正书宋简体" w:hAnsi="方正书宋简体" w:eastAsia="方正书宋简体" w:cs="方正书宋简体"/>
                <w:color w:val="333333"/>
                <w:szCs w:val="21"/>
                <w:shd w:val="clear" w:color="auto" w:fill="FFFFFF"/>
                <w:lang w:eastAsia="zh-CN"/>
              </w:rPr>
              <w:t>微观</w:t>
            </w:r>
            <w:r>
              <w:rPr>
                <w:rFonts w:ascii="方正书宋简体" w:hAnsi="方正书宋简体" w:eastAsia="方正书宋简体" w:cs="方正书宋简体"/>
                <w:color w:val="333333"/>
                <w:szCs w:val="21"/>
                <w:shd w:val="clear" w:color="auto" w:fill="FFFFFF"/>
                <w:lang w:eastAsia="zh-CN"/>
              </w:rPr>
              <w:t>经济学的基本问题和基本观点有比较全面的认识，掌握</w:t>
            </w:r>
            <w:r>
              <w:rPr>
                <w:rFonts w:hint="eastAsia" w:ascii="方正书宋简体" w:hAnsi="方正书宋简体" w:eastAsia="方正书宋简体" w:cs="方正书宋简体"/>
                <w:color w:val="333333"/>
                <w:szCs w:val="21"/>
                <w:shd w:val="clear" w:color="auto" w:fill="FFFFFF"/>
                <w:lang w:eastAsia="zh-CN"/>
              </w:rPr>
              <w:t>微观</w:t>
            </w:r>
            <w:r>
              <w:rPr>
                <w:rFonts w:ascii="方正书宋简体" w:hAnsi="方正书宋简体" w:eastAsia="方正书宋简体" w:cs="方正书宋简体"/>
                <w:color w:val="333333"/>
                <w:szCs w:val="21"/>
                <w:shd w:val="clear" w:color="auto" w:fill="FFFFFF"/>
                <w:lang w:eastAsia="zh-CN"/>
              </w:rPr>
              <w:t>经济学的基本概念、基本思想、基本分析方法和基本理论，建立起对</w:t>
            </w:r>
            <w:r>
              <w:rPr>
                <w:rFonts w:hint="eastAsia" w:ascii="方正书宋简体" w:hAnsi="方正书宋简体" w:eastAsia="方正书宋简体" w:cs="方正书宋简体"/>
                <w:color w:val="333333"/>
                <w:szCs w:val="21"/>
                <w:shd w:val="clear" w:color="auto" w:fill="FFFFFF"/>
                <w:lang w:eastAsia="zh-CN"/>
              </w:rPr>
              <w:t>微观</w:t>
            </w:r>
            <w:r>
              <w:rPr>
                <w:rFonts w:ascii="方正书宋简体" w:hAnsi="方正书宋简体" w:eastAsia="方正书宋简体" w:cs="方正书宋简体"/>
                <w:color w:val="333333"/>
                <w:szCs w:val="21"/>
                <w:shd w:val="clear" w:color="auto" w:fill="FFFFFF"/>
                <w:lang w:eastAsia="zh-CN"/>
              </w:rPr>
              <w:t>经济运行的基本思维框架，为进一步学习其它专业课程和专业研究打下理论基础。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20" w:hRule="atLeast"/>
          <w:jc w:val="center"/>
        </w:trPr>
        <w:tc>
          <w:tcPr>
            <w:tcW w:w="6271" w:type="dxa"/>
            <w:gridSpan w:val="6"/>
          </w:tcPr>
          <w:p>
            <w:pPr>
              <w:tabs>
                <w:tab w:val="left" w:pos="1440"/>
              </w:tabs>
              <w:spacing w:after="0"/>
              <w:ind w:firstLine="422" w:firstLineChars="200"/>
              <w:outlineLvl w:val="0"/>
              <w:rPr>
                <w:rFonts w:ascii="宋体" w:hAnsi="宋体" w:eastAsia="宋体"/>
                <w:b/>
                <w:sz w:val="21"/>
                <w:szCs w:val="21"/>
                <w:lang w:eastAsia="zh-CN"/>
              </w:rPr>
            </w:pPr>
            <w:r>
              <w:rPr>
                <w:rFonts w:hint="eastAsia" w:ascii="宋体" w:hAnsi="宋体" w:eastAsia="宋体"/>
                <w:b/>
                <w:sz w:val="21"/>
                <w:szCs w:val="21"/>
                <w:lang w:eastAsia="zh-CN"/>
              </w:rPr>
              <w:t>课程教学目标</w:t>
            </w:r>
          </w:p>
          <w:p>
            <w:pPr>
              <w:tabs>
                <w:tab w:val="left" w:pos="1440"/>
              </w:tabs>
              <w:spacing w:after="0"/>
              <w:ind w:firstLine="420" w:firstLineChars="200"/>
              <w:outlineLvl w:val="0"/>
              <w:rPr>
                <w:rFonts w:ascii="宋体" w:hAnsi="宋体" w:eastAsia="宋体"/>
                <w:bCs/>
                <w:sz w:val="21"/>
                <w:szCs w:val="21"/>
                <w:lang w:eastAsia="zh-CN"/>
              </w:rPr>
            </w:pPr>
            <w:r>
              <w:rPr>
                <w:rFonts w:hint="eastAsia" w:ascii="宋体" w:hAnsi="宋体" w:eastAsia="宋体"/>
                <w:bCs/>
                <w:sz w:val="21"/>
                <w:szCs w:val="21"/>
                <w:lang w:eastAsia="zh-CN"/>
              </w:rPr>
              <w:t>根据教育部《东莞理工学院“课程思政”教育改革工作方案》（莞工党办[</w:t>
            </w:r>
            <w:r>
              <w:rPr>
                <w:rFonts w:ascii="宋体" w:hAnsi="宋体" w:eastAsia="宋体"/>
                <w:bCs/>
                <w:sz w:val="21"/>
                <w:szCs w:val="21"/>
                <w:lang w:eastAsia="zh-CN"/>
              </w:rPr>
              <w:t>2019]10</w:t>
            </w:r>
            <w:r>
              <w:rPr>
                <w:rFonts w:hint="eastAsia" w:ascii="宋体" w:hAnsi="宋体" w:eastAsia="宋体"/>
                <w:bCs/>
                <w:sz w:val="21"/>
                <w:szCs w:val="21"/>
                <w:lang w:eastAsia="zh-CN"/>
              </w:rPr>
              <w:t>号），以及学校的人才培养目标和学生的实际情况，将本课程的教学目标确定为：</w:t>
            </w:r>
          </w:p>
          <w:p>
            <w:pPr>
              <w:tabs>
                <w:tab w:val="left" w:pos="1440"/>
              </w:tabs>
              <w:spacing w:after="0"/>
              <w:ind w:firstLine="420" w:firstLineChars="200"/>
              <w:outlineLvl w:val="0"/>
              <w:rPr>
                <w:rFonts w:ascii="宋体" w:hAnsi="宋体" w:eastAsia="宋体"/>
                <w:bCs/>
                <w:sz w:val="21"/>
                <w:szCs w:val="21"/>
                <w:lang w:eastAsia="zh-CN"/>
              </w:rPr>
            </w:pPr>
            <w:r>
              <w:rPr>
                <w:rFonts w:hint="eastAsia" w:ascii="宋体" w:hAnsi="宋体" w:eastAsia="宋体"/>
                <w:bCs/>
                <w:sz w:val="21"/>
                <w:szCs w:val="21"/>
                <w:lang w:eastAsia="zh-CN"/>
              </w:rPr>
              <w:t>知识目标：</w:t>
            </w:r>
          </w:p>
          <w:p>
            <w:pPr>
              <w:spacing w:after="0"/>
              <w:ind w:firstLine="420" w:firstLineChars="200"/>
              <w:rPr>
                <w:rFonts w:ascii="宋体" w:hAnsi="宋体" w:eastAsia="宋体"/>
                <w:sz w:val="21"/>
                <w:szCs w:val="21"/>
                <w:lang w:eastAsia="zh-CN"/>
              </w:rPr>
            </w:pPr>
            <w:r>
              <w:rPr>
                <w:rFonts w:hint="eastAsia" w:ascii="宋体" w:hAnsi="宋体" w:eastAsia="宋体"/>
                <w:sz w:val="21"/>
                <w:szCs w:val="21"/>
                <w:lang w:eastAsia="zh-CN"/>
              </w:rPr>
              <w:t>1．了解微观经济学的各种概念原理、分析方法及推导过程。</w:t>
            </w:r>
          </w:p>
          <w:p>
            <w:pPr>
              <w:spacing w:after="0"/>
              <w:ind w:firstLine="420" w:firstLineChars="200"/>
              <w:rPr>
                <w:rFonts w:ascii="宋体" w:hAnsi="宋体" w:eastAsia="宋体"/>
                <w:sz w:val="21"/>
                <w:szCs w:val="21"/>
                <w:lang w:eastAsia="zh-CN"/>
              </w:rPr>
            </w:pPr>
            <w:r>
              <w:rPr>
                <w:rFonts w:hint="eastAsia" w:ascii="宋体" w:hAnsi="宋体" w:eastAsia="宋体"/>
                <w:sz w:val="21"/>
                <w:szCs w:val="21"/>
                <w:lang w:eastAsia="zh-CN"/>
              </w:rPr>
              <w:t>2．重点理解和掌握市场经济中产品的供给与需求曲线、消费者行为理论、生产与成本的关系、各种市场情况的性质与特点、生产要素、以及各类政府的微观经济政策。</w:t>
            </w:r>
          </w:p>
          <w:p>
            <w:pPr>
              <w:tabs>
                <w:tab w:val="left" w:pos="1440"/>
              </w:tabs>
              <w:spacing w:after="0"/>
              <w:ind w:firstLine="420" w:firstLineChars="200"/>
              <w:outlineLvl w:val="0"/>
              <w:rPr>
                <w:rFonts w:ascii="宋体" w:hAnsi="宋体" w:eastAsia="宋体"/>
                <w:sz w:val="21"/>
                <w:szCs w:val="21"/>
                <w:lang w:eastAsia="zh-CN"/>
              </w:rPr>
            </w:pPr>
            <w:r>
              <w:rPr>
                <w:rFonts w:hint="eastAsia" w:ascii="宋体" w:hAnsi="宋体" w:eastAsia="宋体"/>
                <w:sz w:val="21"/>
                <w:szCs w:val="21"/>
                <w:lang w:eastAsia="zh-CN"/>
              </w:rPr>
              <w:t>3．熟悉微观经济中的边际分析、市场失灵与干预、博弈论、一般均衡与福利经济学等。</w:t>
            </w:r>
          </w:p>
          <w:p>
            <w:pPr>
              <w:tabs>
                <w:tab w:val="left" w:pos="1440"/>
              </w:tabs>
              <w:spacing w:after="0"/>
              <w:ind w:firstLine="420" w:firstLineChars="200"/>
              <w:outlineLvl w:val="0"/>
              <w:rPr>
                <w:rFonts w:ascii="宋体" w:hAnsi="宋体" w:eastAsia="宋体"/>
                <w:bCs/>
                <w:sz w:val="21"/>
                <w:szCs w:val="21"/>
                <w:lang w:eastAsia="zh-CN"/>
              </w:rPr>
            </w:pPr>
            <w:r>
              <w:rPr>
                <w:rFonts w:hint="eastAsia" w:ascii="宋体" w:hAnsi="宋体" w:eastAsia="宋体"/>
                <w:sz w:val="21"/>
                <w:szCs w:val="21"/>
                <w:lang w:eastAsia="zh-CN"/>
              </w:rPr>
              <w:t>能力目标：</w:t>
            </w:r>
          </w:p>
          <w:p>
            <w:pPr>
              <w:tabs>
                <w:tab w:val="left" w:pos="1440"/>
              </w:tabs>
              <w:spacing w:after="0"/>
              <w:ind w:firstLine="420" w:firstLineChars="200"/>
              <w:outlineLvl w:val="0"/>
              <w:rPr>
                <w:rFonts w:ascii="宋体" w:hAnsi="宋体" w:eastAsia="宋体"/>
                <w:sz w:val="21"/>
                <w:szCs w:val="21"/>
                <w:lang w:eastAsia="zh-CN"/>
              </w:rPr>
            </w:pPr>
            <w:r>
              <w:rPr>
                <w:rFonts w:hint="eastAsia" w:ascii="宋体" w:hAnsi="宋体" w:eastAsia="宋体"/>
                <w:sz w:val="21"/>
                <w:szCs w:val="21"/>
                <w:lang w:eastAsia="zh-CN"/>
              </w:rPr>
              <w:t>1．微观经济学是经济贸易类专业和金融类专业的基础课，直接培养学生的经济问题的分析能力，并为后续的专业课奠定基础。 </w:t>
            </w:r>
          </w:p>
          <w:p>
            <w:pPr>
              <w:pStyle w:val="15"/>
              <w:tabs>
                <w:tab w:val="left" w:pos="1440"/>
              </w:tabs>
              <w:spacing w:after="0"/>
              <w:ind w:left="420" w:firstLine="0" w:firstLineChars="0"/>
              <w:outlineLvl w:val="0"/>
              <w:rPr>
                <w:rFonts w:ascii="宋体" w:hAnsi="宋体" w:eastAsia="宋体"/>
                <w:sz w:val="21"/>
                <w:szCs w:val="21"/>
                <w:lang w:eastAsia="zh-CN"/>
              </w:rPr>
            </w:pPr>
            <w:r>
              <w:rPr>
                <w:rFonts w:hint="eastAsia" w:ascii="宋体" w:hAnsi="宋体" w:eastAsia="宋体"/>
                <w:sz w:val="21"/>
                <w:szCs w:val="21"/>
                <w:lang w:eastAsia="zh-CN"/>
              </w:rPr>
              <w:t>素质目标：</w:t>
            </w:r>
          </w:p>
          <w:p>
            <w:pPr>
              <w:pStyle w:val="15"/>
              <w:tabs>
                <w:tab w:val="left" w:pos="1440"/>
              </w:tabs>
              <w:spacing w:after="0"/>
              <w:ind w:left="420" w:firstLine="0" w:firstLineChars="0"/>
              <w:outlineLvl w:val="0"/>
              <w:rPr>
                <w:rFonts w:ascii="宋体" w:hAnsi="宋体" w:eastAsia="宋体"/>
                <w:sz w:val="21"/>
                <w:szCs w:val="21"/>
                <w:lang w:eastAsia="zh-CN"/>
              </w:rPr>
            </w:pPr>
            <w:r>
              <w:rPr>
                <w:rFonts w:ascii="宋体" w:hAnsi="宋体" w:eastAsia="宋体"/>
                <w:sz w:val="21"/>
                <w:szCs w:val="21"/>
                <w:lang w:eastAsia="zh-CN"/>
              </w:rPr>
              <w:t>1.</w:t>
            </w:r>
            <w:r>
              <w:rPr>
                <w:rFonts w:hint="eastAsia" w:ascii="宋体" w:hAnsi="宋体" w:eastAsia="宋体"/>
                <w:sz w:val="21"/>
                <w:szCs w:val="21"/>
                <w:lang w:eastAsia="zh-CN"/>
              </w:rPr>
              <w:t>使学生掌握微观经济学基本理论、知识，并能用这些理论和知识分析、处理现实经济生活中的问题。</w:t>
            </w:r>
          </w:p>
          <w:p>
            <w:pPr>
              <w:spacing w:after="0"/>
              <w:ind w:firstLine="420" w:firstLineChars="200"/>
              <w:rPr>
                <w:rFonts w:ascii="宋体" w:hAnsi="宋体" w:eastAsia="宋体"/>
                <w:sz w:val="21"/>
                <w:szCs w:val="21"/>
                <w:lang w:eastAsia="zh-CN"/>
              </w:rPr>
            </w:pPr>
          </w:p>
        </w:tc>
        <w:tc>
          <w:tcPr>
            <w:tcW w:w="3130" w:type="dxa"/>
            <w:gridSpan w:val="4"/>
          </w:tcPr>
          <w:p>
            <w:pPr>
              <w:tabs>
                <w:tab w:val="left" w:pos="1440"/>
              </w:tabs>
              <w:spacing w:after="0"/>
              <w:outlineLvl w:val="0"/>
              <w:rPr>
                <w:rFonts w:ascii="宋体" w:hAnsi="宋体" w:eastAsia="宋体"/>
                <w:b/>
                <w:sz w:val="21"/>
                <w:szCs w:val="21"/>
                <w:lang w:eastAsia="zh-CN"/>
              </w:rPr>
            </w:pPr>
            <w:r>
              <w:rPr>
                <w:rFonts w:hint="eastAsia" w:ascii="宋体" w:hAnsi="宋体" w:eastAsia="宋体"/>
                <w:b/>
                <w:sz w:val="21"/>
                <w:szCs w:val="21"/>
                <w:lang w:eastAsia="zh-CN"/>
              </w:rPr>
              <w:t>本课程</w:t>
            </w:r>
            <w:r>
              <w:rPr>
                <w:rFonts w:ascii="宋体" w:hAnsi="宋体" w:eastAsia="宋体"/>
                <w:b/>
                <w:sz w:val="21"/>
                <w:szCs w:val="21"/>
                <w:lang w:eastAsia="zh-CN"/>
              </w:rPr>
              <w:t>与学生核心能力培养之间的关联：</w:t>
            </w:r>
          </w:p>
          <w:p>
            <w:pPr>
              <w:tabs>
                <w:tab w:val="left" w:pos="1440"/>
              </w:tabs>
              <w:spacing w:after="0"/>
              <w:outlineLvl w:val="0"/>
              <w:rPr>
                <w:rFonts w:ascii="宋体" w:hAnsi="宋体" w:eastAsia="宋体"/>
                <w:b/>
                <w:sz w:val="21"/>
                <w:szCs w:val="21"/>
                <w:lang w:eastAsia="zh-CN"/>
              </w:rPr>
            </w:pPr>
            <w:r>
              <w:rPr>
                <w:rFonts w:hint="eastAsia" w:ascii="宋体" w:hAnsi="宋体" w:eastAsia="宋体"/>
                <w:b/>
                <w:sz w:val="21"/>
                <w:szCs w:val="21"/>
                <w:lang w:eastAsia="zh-CN"/>
              </w:rPr>
              <w:t>√核心能力</w:t>
            </w:r>
            <w:r>
              <w:rPr>
                <w:rFonts w:ascii="宋体" w:hAnsi="宋体" w:eastAsia="宋体"/>
                <w:b/>
                <w:sz w:val="21"/>
                <w:szCs w:val="21"/>
                <w:lang w:eastAsia="zh-CN"/>
              </w:rPr>
              <w:t xml:space="preserve">1. </w:t>
            </w:r>
            <w:r>
              <w:rPr>
                <w:rFonts w:hint="eastAsia" w:ascii="宋体" w:hAnsi="宋体" w:eastAsia="宋体"/>
                <w:sz w:val="21"/>
                <w:szCs w:val="21"/>
                <w:lang w:eastAsia="zh-CN"/>
              </w:rPr>
              <w:t>树立坚定、正确的政治方向具备刻苦学习、团结协作、实事求是的科学精神具有强烈的社会责任感和良好的职业道德基础。</w:t>
            </w:r>
          </w:p>
          <w:p>
            <w:pPr>
              <w:tabs>
                <w:tab w:val="left" w:pos="1440"/>
              </w:tabs>
              <w:spacing w:after="0"/>
              <w:outlineLvl w:val="0"/>
              <w:rPr>
                <w:rFonts w:ascii="宋体" w:hAnsi="宋体" w:eastAsia="宋体"/>
                <w:b/>
                <w:sz w:val="21"/>
                <w:szCs w:val="21"/>
                <w:lang w:eastAsia="zh-CN"/>
              </w:rPr>
            </w:pPr>
            <w:r>
              <w:rPr>
                <w:rFonts w:hint="eastAsia" w:ascii="宋体" w:hAnsi="宋体" w:eastAsia="宋体"/>
                <w:b/>
                <w:sz w:val="21"/>
                <w:szCs w:val="21"/>
                <w:lang w:eastAsia="zh-CN"/>
              </w:rPr>
              <w:t>√核心能力</w:t>
            </w:r>
            <w:r>
              <w:rPr>
                <w:rFonts w:ascii="宋体" w:hAnsi="宋体" w:eastAsia="宋体"/>
                <w:b/>
                <w:sz w:val="21"/>
                <w:szCs w:val="21"/>
                <w:lang w:eastAsia="zh-CN"/>
              </w:rPr>
              <w:t xml:space="preserve">2. </w:t>
            </w:r>
            <w:r>
              <w:rPr>
                <w:rFonts w:hint="eastAsia" w:ascii="宋体" w:hAnsi="宋体" w:eastAsia="宋体"/>
                <w:sz w:val="21"/>
                <w:szCs w:val="21"/>
                <w:lang w:eastAsia="zh-CN"/>
              </w:rPr>
              <w:t>具有扎实的经济学专业知识基础，熟悉现代西方经济学理论，了解应用经济学领域的发展动态，熟悉我国经济政策和法规，了解市场经济的运行机制，具有一定的企业经营管理能力；</w:t>
            </w:r>
          </w:p>
          <w:p>
            <w:pPr>
              <w:tabs>
                <w:tab w:val="left" w:pos="1440"/>
              </w:tabs>
              <w:spacing w:after="0"/>
              <w:outlineLvl w:val="0"/>
              <w:rPr>
                <w:rFonts w:ascii="宋体" w:hAnsi="宋体" w:eastAsia="宋体"/>
                <w:sz w:val="21"/>
                <w:szCs w:val="21"/>
                <w:lang w:eastAsia="zh-CN"/>
              </w:rPr>
            </w:pPr>
            <w:r>
              <w:rPr>
                <w:rFonts w:hint="eastAsia" w:ascii="宋体" w:hAnsi="宋体" w:eastAsia="宋体"/>
                <w:b/>
                <w:sz w:val="21"/>
                <w:szCs w:val="21"/>
                <w:lang w:eastAsia="zh-CN"/>
              </w:rPr>
              <w:t>□核心能力</w:t>
            </w:r>
            <w:r>
              <w:rPr>
                <w:rFonts w:ascii="宋体" w:hAnsi="宋体" w:eastAsia="宋体"/>
                <w:b/>
                <w:sz w:val="21"/>
                <w:szCs w:val="21"/>
                <w:lang w:eastAsia="zh-CN"/>
              </w:rPr>
              <w:t xml:space="preserve">3. </w:t>
            </w:r>
            <w:r>
              <w:rPr>
                <w:rFonts w:hint="eastAsia" w:ascii="宋体" w:hAnsi="宋体" w:eastAsia="宋体"/>
                <w:sz w:val="21"/>
                <w:szCs w:val="21"/>
                <w:lang w:eastAsia="zh-CN"/>
              </w:rPr>
              <w:t>具有扎实的数学基础，熟练掌握计算机的基础知识和上机操作技能，能够运用各种专业软件从事经济工作；</w:t>
            </w:r>
          </w:p>
          <w:p>
            <w:pPr>
              <w:tabs>
                <w:tab w:val="left" w:pos="1440"/>
              </w:tabs>
              <w:spacing w:after="0"/>
              <w:outlineLvl w:val="0"/>
              <w:rPr>
                <w:rFonts w:ascii="宋体" w:hAnsi="宋体" w:eastAsia="宋体"/>
                <w:b/>
                <w:sz w:val="21"/>
                <w:szCs w:val="21"/>
                <w:lang w:eastAsia="zh-CN"/>
              </w:rPr>
            </w:pPr>
            <w:r>
              <w:rPr>
                <w:rFonts w:hint="eastAsia" w:ascii="宋体" w:hAnsi="宋体" w:eastAsia="宋体"/>
                <w:b/>
                <w:sz w:val="21"/>
                <w:szCs w:val="21"/>
                <w:lang w:eastAsia="zh-CN"/>
              </w:rPr>
              <w:t>√核心能力</w:t>
            </w:r>
            <w:r>
              <w:rPr>
                <w:rFonts w:ascii="宋体" w:hAnsi="宋体" w:eastAsia="宋体"/>
                <w:b/>
                <w:sz w:val="21"/>
                <w:szCs w:val="21"/>
                <w:lang w:eastAsia="zh-CN"/>
              </w:rPr>
              <w:t xml:space="preserve">4. </w:t>
            </w:r>
            <w:r>
              <w:rPr>
                <w:rFonts w:hint="eastAsia" w:ascii="宋体" w:hAnsi="宋体" w:eastAsia="宋体"/>
                <w:sz w:val="21"/>
                <w:szCs w:val="21"/>
                <w:lang w:eastAsia="zh-CN"/>
              </w:rPr>
              <w:t>具有创新意识和开拓能力以及团队精神与合作意识，具有较强的组织管理能力和领导艺术；</w:t>
            </w:r>
          </w:p>
          <w:p>
            <w:pPr>
              <w:tabs>
                <w:tab w:val="left" w:pos="1440"/>
              </w:tabs>
              <w:spacing w:after="0"/>
              <w:outlineLvl w:val="0"/>
              <w:rPr>
                <w:rFonts w:ascii="宋体" w:hAnsi="宋体" w:eastAsia="宋体"/>
                <w:sz w:val="21"/>
                <w:szCs w:val="21"/>
                <w:lang w:eastAsia="zh-CN"/>
              </w:rPr>
            </w:pPr>
            <w:r>
              <w:rPr>
                <w:rFonts w:hint="eastAsia" w:ascii="宋体" w:hAnsi="宋体" w:eastAsia="宋体"/>
                <w:b/>
                <w:sz w:val="21"/>
                <w:szCs w:val="21"/>
                <w:lang w:eastAsia="zh-CN"/>
              </w:rPr>
              <w:t>□核心能力</w:t>
            </w:r>
            <w:r>
              <w:rPr>
                <w:rFonts w:ascii="宋体" w:hAnsi="宋体" w:eastAsia="宋体"/>
                <w:b/>
                <w:sz w:val="21"/>
                <w:szCs w:val="21"/>
                <w:lang w:eastAsia="zh-CN"/>
              </w:rPr>
              <w:t xml:space="preserve">5. </w:t>
            </w:r>
            <w:r>
              <w:rPr>
                <w:rFonts w:hint="eastAsia" w:ascii="宋体" w:hAnsi="宋体" w:eastAsia="宋体"/>
                <w:sz w:val="21"/>
                <w:szCs w:val="21"/>
                <w:lang w:eastAsia="zh-CN"/>
              </w:rPr>
              <w:t>具有一定的体育和军事知识养成良好的体育锻炼习惯，具有健全的心理</w:t>
            </w:r>
          </w:p>
          <w:p>
            <w:pPr>
              <w:tabs>
                <w:tab w:val="left" w:pos="1440"/>
              </w:tabs>
              <w:spacing w:after="0"/>
              <w:outlineLvl w:val="0"/>
              <w:rPr>
                <w:rFonts w:ascii="宋体" w:hAnsi="宋体" w:eastAsia="宋体"/>
                <w:sz w:val="21"/>
                <w:szCs w:val="21"/>
                <w:lang w:eastAsia="zh-CN"/>
              </w:rPr>
            </w:pPr>
            <w:r>
              <w:rPr>
                <w:rFonts w:hint="eastAsia" w:ascii="宋体" w:hAnsi="宋体" w:eastAsia="宋体"/>
                <w:sz w:val="21"/>
                <w:szCs w:val="21"/>
                <w:lang w:eastAsia="zh-CN"/>
              </w:rPr>
              <w:t>素质和健康的体魄。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shd w:val="clear" w:color="auto" w:fill="C0C0C0"/>
            <w:vAlign w:val="center"/>
          </w:tcPr>
          <w:p>
            <w:pPr>
              <w:tabs>
                <w:tab w:val="left" w:pos="1440"/>
              </w:tabs>
              <w:spacing w:after="0" w:line="0" w:lineRule="atLeast"/>
              <w:jc w:val="center"/>
              <w:outlineLvl w:val="0"/>
              <w:rPr>
                <w:rFonts w:ascii="宋体" w:hAnsi="宋体" w:eastAsia="宋体"/>
                <w:b/>
                <w:sz w:val="21"/>
                <w:szCs w:val="21"/>
                <w:lang w:eastAsia="zh-CN"/>
              </w:rPr>
            </w:pPr>
            <w:r>
              <w:rPr>
                <w:rFonts w:hint="eastAsia" w:ascii="宋体" w:hAnsi="宋体" w:eastAsia="宋体"/>
                <w:b/>
                <w:szCs w:val="21"/>
                <w:lang w:eastAsia="zh-CN"/>
              </w:rPr>
              <w:t>理论教学进程表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31" w:type="dxa"/>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周次</w:t>
            </w:r>
          </w:p>
        </w:tc>
        <w:tc>
          <w:tcPr>
            <w:tcW w:w="1709" w:type="dxa"/>
            <w:gridSpan w:val="2"/>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教学主题</w:t>
            </w:r>
          </w:p>
        </w:tc>
        <w:tc>
          <w:tcPr>
            <w:tcW w:w="618" w:type="dxa"/>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教学时长</w:t>
            </w:r>
          </w:p>
        </w:tc>
        <w:tc>
          <w:tcPr>
            <w:tcW w:w="3990" w:type="dxa"/>
            <w:gridSpan w:val="3"/>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教学的重点与难点</w:t>
            </w:r>
          </w:p>
        </w:tc>
        <w:tc>
          <w:tcPr>
            <w:tcW w:w="1171" w:type="dxa"/>
            <w:gridSpan w:val="2"/>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教学方式</w:t>
            </w:r>
          </w:p>
        </w:tc>
        <w:tc>
          <w:tcPr>
            <w:tcW w:w="1082" w:type="dxa"/>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作业安排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31"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1</w:t>
            </w:r>
          </w:p>
        </w:tc>
        <w:tc>
          <w:tcPr>
            <w:tcW w:w="1709"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引论</w:t>
            </w:r>
          </w:p>
        </w:tc>
        <w:tc>
          <w:tcPr>
            <w:tcW w:w="618" w:type="dxa"/>
            <w:vAlign w:val="center"/>
          </w:tcPr>
          <w:p>
            <w:pPr>
              <w:spacing w:after="0" w:line="0" w:lineRule="atLeast"/>
              <w:rPr>
                <w:rFonts w:ascii="宋体" w:hAnsi="宋体" w:eastAsia="宋体"/>
                <w:sz w:val="21"/>
                <w:szCs w:val="21"/>
                <w:lang w:eastAsia="zh-CN"/>
              </w:rPr>
            </w:pPr>
            <w:r>
              <w:rPr>
                <w:rFonts w:ascii="宋体" w:hAnsi="宋体" w:eastAsia="宋体"/>
                <w:sz w:val="21"/>
                <w:szCs w:val="21"/>
                <w:lang w:eastAsia="zh-CN"/>
              </w:rPr>
              <w:t>2</w:t>
            </w:r>
          </w:p>
        </w:tc>
        <w:tc>
          <w:tcPr>
            <w:tcW w:w="3990" w:type="dxa"/>
            <w:gridSpan w:val="3"/>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课程思政融入点：马克思主义思想理论经济建设，中国经济的发展历程，引导学生对国家经济建设的了解；</w:t>
            </w:r>
          </w:p>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使学生了解经济学的这一理论体系的基本框架,明确经济学的研究对象，掌握经济学的基本内容,了解经济学的发展简史和主要研究方法。</w:t>
            </w:r>
          </w:p>
        </w:tc>
        <w:tc>
          <w:tcPr>
            <w:tcW w:w="1171"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课堂讲</w:t>
            </w:r>
            <w:r>
              <w:rPr>
                <w:rFonts w:ascii="宋体" w:hAnsi="宋体" w:eastAsia="宋体"/>
                <w:sz w:val="21"/>
                <w:szCs w:val="21"/>
                <w:lang w:eastAsia="zh-CN"/>
              </w:rPr>
              <w:t>授</w:t>
            </w:r>
          </w:p>
        </w:tc>
        <w:tc>
          <w:tcPr>
            <w:tcW w:w="1082"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习题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31"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2</w:t>
            </w:r>
          </w:p>
        </w:tc>
        <w:tc>
          <w:tcPr>
            <w:tcW w:w="1709"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需求、供给和均衡价格</w:t>
            </w:r>
          </w:p>
        </w:tc>
        <w:tc>
          <w:tcPr>
            <w:tcW w:w="618" w:type="dxa"/>
            <w:vAlign w:val="center"/>
          </w:tcPr>
          <w:p>
            <w:pPr>
              <w:spacing w:after="0" w:line="0" w:lineRule="atLeast"/>
              <w:rPr>
                <w:rFonts w:ascii="宋体" w:hAnsi="宋体" w:eastAsia="宋体"/>
                <w:sz w:val="21"/>
                <w:szCs w:val="21"/>
                <w:lang w:eastAsia="zh-CN"/>
              </w:rPr>
            </w:pPr>
            <w:r>
              <w:rPr>
                <w:rFonts w:ascii="宋体" w:hAnsi="宋体" w:eastAsia="宋体"/>
                <w:sz w:val="21"/>
                <w:szCs w:val="21"/>
                <w:lang w:eastAsia="zh-CN"/>
              </w:rPr>
              <w:t>3</w:t>
            </w:r>
          </w:p>
        </w:tc>
        <w:tc>
          <w:tcPr>
            <w:tcW w:w="3990" w:type="dxa"/>
            <w:gridSpan w:val="3"/>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在了解需求和供给的基本理论、掌握供求规律的基础上，深刻理解并掌握价格形成的条件、过程、变动及其对经济的调节，能运用弹性理论分析、解决一些实际经济问题。</w:t>
            </w:r>
          </w:p>
        </w:tc>
        <w:tc>
          <w:tcPr>
            <w:tcW w:w="1171"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课堂</w:t>
            </w:r>
            <w:r>
              <w:rPr>
                <w:rFonts w:ascii="宋体" w:hAnsi="宋体" w:eastAsia="宋体"/>
                <w:sz w:val="21"/>
                <w:szCs w:val="21"/>
                <w:lang w:eastAsia="zh-CN"/>
              </w:rPr>
              <w:t>讲授</w:t>
            </w:r>
          </w:p>
        </w:tc>
        <w:tc>
          <w:tcPr>
            <w:tcW w:w="1082"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习题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31"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3</w:t>
            </w:r>
          </w:p>
        </w:tc>
        <w:tc>
          <w:tcPr>
            <w:tcW w:w="1709"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消费者选择</w:t>
            </w:r>
          </w:p>
        </w:tc>
        <w:tc>
          <w:tcPr>
            <w:tcW w:w="618" w:type="dxa"/>
            <w:vAlign w:val="center"/>
          </w:tcPr>
          <w:p>
            <w:pPr>
              <w:spacing w:after="0" w:line="0" w:lineRule="atLeast"/>
              <w:rPr>
                <w:rFonts w:ascii="宋体" w:hAnsi="宋体" w:eastAsia="宋体"/>
                <w:sz w:val="21"/>
                <w:szCs w:val="21"/>
                <w:lang w:eastAsia="zh-CN"/>
              </w:rPr>
            </w:pPr>
            <w:r>
              <w:rPr>
                <w:rFonts w:ascii="宋体" w:hAnsi="宋体" w:eastAsia="宋体"/>
                <w:sz w:val="21"/>
                <w:szCs w:val="21"/>
                <w:lang w:eastAsia="zh-CN"/>
              </w:rPr>
              <w:t>4</w:t>
            </w:r>
          </w:p>
        </w:tc>
        <w:tc>
          <w:tcPr>
            <w:tcW w:w="3990" w:type="dxa"/>
            <w:gridSpan w:val="3"/>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使学生了解效用、基数效用论、序数效用论、消费者均衡、消费者剩余等基本概念，理解边际效用递减规律、边际替代率递减规律的含义，能够运用边际效用分析法和无差异曲线分析法来说明消费者均衡的实现，把握收入效应、替代效应与价格效应三者之间的内在联系。</w:t>
            </w:r>
          </w:p>
        </w:tc>
        <w:tc>
          <w:tcPr>
            <w:tcW w:w="1171"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课堂</w:t>
            </w:r>
            <w:r>
              <w:rPr>
                <w:rFonts w:ascii="宋体" w:hAnsi="宋体" w:eastAsia="宋体"/>
                <w:sz w:val="21"/>
                <w:szCs w:val="21"/>
                <w:lang w:eastAsia="zh-CN"/>
              </w:rPr>
              <w:t>讲授</w:t>
            </w:r>
            <w:r>
              <w:rPr>
                <w:rFonts w:hint="eastAsia" w:ascii="宋体" w:hAnsi="宋体" w:eastAsia="宋体"/>
                <w:sz w:val="21"/>
                <w:szCs w:val="21"/>
                <w:lang w:eastAsia="zh-CN"/>
              </w:rPr>
              <w:t>+小</w:t>
            </w:r>
            <w:r>
              <w:rPr>
                <w:rFonts w:ascii="宋体" w:hAnsi="宋体" w:eastAsia="宋体"/>
                <w:sz w:val="21"/>
                <w:szCs w:val="21"/>
                <w:lang w:eastAsia="zh-CN"/>
              </w:rPr>
              <w:t>组</w:t>
            </w:r>
            <w:r>
              <w:rPr>
                <w:rFonts w:hint="eastAsia" w:ascii="宋体" w:hAnsi="宋体" w:eastAsia="宋体"/>
                <w:sz w:val="21"/>
                <w:szCs w:val="21"/>
                <w:lang w:eastAsia="zh-CN"/>
              </w:rPr>
              <w:t>讨论</w:t>
            </w:r>
          </w:p>
        </w:tc>
        <w:tc>
          <w:tcPr>
            <w:tcW w:w="1082"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习题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31"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4</w:t>
            </w:r>
          </w:p>
        </w:tc>
        <w:tc>
          <w:tcPr>
            <w:tcW w:w="1709"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企业的生产和成本</w:t>
            </w:r>
          </w:p>
        </w:tc>
        <w:tc>
          <w:tcPr>
            <w:tcW w:w="618" w:type="dxa"/>
            <w:vAlign w:val="center"/>
          </w:tcPr>
          <w:p>
            <w:pPr>
              <w:spacing w:after="0" w:line="0" w:lineRule="atLeast"/>
              <w:rPr>
                <w:rFonts w:ascii="宋体" w:hAnsi="宋体" w:eastAsia="宋体"/>
                <w:sz w:val="21"/>
                <w:szCs w:val="21"/>
                <w:lang w:eastAsia="zh-CN"/>
              </w:rPr>
            </w:pPr>
            <w:r>
              <w:rPr>
                <w:rFonts w:ascii="宋体" w:hAnsi="宋体" w:eastAsia="宋体"/>
                <w:sz w:val="21"/>
                <w:szCs w:val="21"/>
                <w:lang w:eastAsia="zh-CN"/>
              </w:rPr>
              <w:t>7</w:t>
            </w:r>
          </w:p>
        </w:tc>
        <w:tc>
          <w:tcPr>
            <w:tcW w:w="3990" w:type="dxa"/>
            <w:gridSpan w:val="3"/>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了解生产、生产函数、脊线、生产扩展线等基本概念，掌握总产量、平均产量与边际产量的变动规律和它们之间的相互关系，真正理解边际报酬递减规律的意义、规模报酬和两种生产要素最适组合的原则。了解短期成本与长期成本的划分标准；理解成本、收益与利润之间的关系；掌握并运用利润最大化原则说明厂商在生产经营中如何才能实现利润的最大化。</w:t>
            </w:r>
          </w:p>
        </w:tc>
        <w:tc>
          <w:tcPr>
            <w:tcW w:w="1171"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课堂</w:t>
            </w:r>
            <w:r>
              <w:rPr>
                <w:rFonts w:ascii="宋体" w:hAnsi="宋体" w:eastAsia="宋体"/>
                <w:sz w:val="21"/>
                <w:szCs w:val="21"/>
                <w:lang w:eastAsia="zh-CN"/>
              </w:rPr>
              <w:t>讲授</w:t>
            </w:r>
            <w:r>
              <w:rPr>
                <w:rFonts w:hint="eastAsia" w:ascii="宋体" w:hAnsi="宋体" w:eastAsia="宋体"/>
                <w:sz w:val="21"/>
                <w:szCs w:val="21"/>
                <w:lang w:eastAsia="zh-CN"/>
              </w:rPr>
              <w:t>+小</w:t>
            </w:r>
            <w:r>
              <w:rPr>
                <w:rFonts w:ascii="宋体" w:hAnsi="宋体" w:eastAsia="宋体"/>
                <w:sz w:val="21"/>
                <w:szCs w:val="21"/>
                <w:lang w:eastAsia="zh-CN"/>
              </w:rPr>
              <w:t>组</w:t>
            </w:r>
            <w:r>
              <w:rPr>
                <w:rFonts w:hint="eastAsia" w:ascii="宋体" w:hAnsi="宋体" w:eastAsia="宋体"/>
                <w:sz w:val="21"/>
                <w:szCs w:val="21"/>
                <w:lang w:eastAsia="zh-CN"/>
              </w:rPr>
              <w:t>讨论</w:t>
            </w:r>
          </w:p>
        </w:tc>
        <w:tc>
          <w:tcPr>
            <w:tcW w:w="1082"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习题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31" w:type="dxa"/>
            <w:tcBorders>
              <w:bottom w:val="single" w:color="auto" w:sz="4" w:space="0"/>
            </w:tcBorders>
            <w:vAlign w:val="center"/>
          </w:tcPr>
          <w:p>
            <w:pPr>
              <w:spacing w:after="0" w:line="0" w:lineRule="atLeast"/>
              <w:rPr>
                <w:rFonts w:ascii="宋体" w:hAnsi="宋体" w:eastAsia="宋体"/>
                <w:sz w:val="21"/>
                <w:szCs w:val="21"/>
                <w:lang w:eastAsia="zh-CN"/>
              </w:rPr>
            </w:pPr>
            <w:r>
              <w:rPr>
                <w:rFonts w:ascii="宋体" w:hAnsi="宋体" w:eastAsia="宋体"/>
                <w:sz w:val="21"/>
                <w:szCs w:val="21"/>
                <w:lang w:eastAsia="zh-CN"/>
              </w:rPr>
              <w:t>5</w:t>
            </w:r>
          </w:p>
        </w:tc>
        <w:tc>
          <w:tcPr>
            <w:tcW w:w="1709" w:type="dxa"/>
            <w:gridSpan w:val="2"/>
            <w:tcBorders>
              <w:bottom w:val="single" w:color="auto" w:sz="4" w:space="0"/>
            </w:tcBorders>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完全竞争市场</w:t>
            </w:r>
          </w:p>
        </w:tc>
        <w:tc>
          <w:tcPr>
            <w:tcW w:w="618" w:type="dxa"/>
            <w:tcBorders>
              <w:bottom w:val="single" w:color="auto" w:sz="4" w:space="0"/>
            </w:tcBorders>
            <w:vAlign w:val="center"/>
          </w:tcPr>
          <w:p>
            <w:pPr>
              <w:spacing w:after="0" w:line="0" w:lineRule="atLeast"/>
              <w:rPr>
                <w:rFonts w:ascii="宋体" w:hAnsi="宋体" w:eastAsia="宋体"/>
                <w:sz w:val="21"/>
                <w:szCs w:val="21"/>
                <w:lang w:eastAsia="zh-CN"/>
              </w:rPr>
            </w:pPr>
            <w:r>
              <w:rPr>
                <w:rFonts w:ascii="宋体" w:hAnsi="宋体" w:eastAsia="宋体"/>
                <w:sz w:val="21"/>
                <w:szCs w:val="21"/>
                <w:lang w:eastAsia="zh-CN"/>
              </w:rPr>
              <w:t>5</w:t>
            </w:r>
          </w:p>
        </w:tc>
        <w:tc>
          <w:tcPr>
            <w:tcW w:w="3990" w:type="dxa"/>
            <w:gridSpan w:val="3"/>
            <w:tcBorders>
              <w:bottom w:val="single" w:color="auto" w:sz="4" w:space="0"/>
            </w:tcBorders>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首先，了解市场的划分标准、类别和特点，掌握完全竞争市场的形成条件、特点，厂商所面临的需求曲线和收益曲线；其次，能分析说明完全竞争厂商在不同条件下的均衡状况，理解厂商的最优决策，推导短期和长期内厂商及行业的供给曲线。</w:t>
            </w:r>
          </w:p>
        </w:tc>
        <w:tc>
          <w:tcPr>
            <w:tcW w:w="1171" w:type="dxa"/>
            <w:gridSpan w:val="2"/>
            <w:tcBorders>
              <w:bottom w:val="single" w:color="auto" w:sz="4" w:space="0"/>
            </w:tcBorders>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课堂</w:t>
            </w:r>
            <w:r>
              <w:rPr>
                <w:rFonts w:ascii="宋体" w:hAnsi="宋体" w:eastAsia="宋体"/>
                <w:sz w:val="21"/>
                <w:szCs w:val="21"/>
                <w:lang w:eastAsia="zh-CN"/>
              </w:rPr>
              <w:t>讲授</w:t>
            </w:r>
          </w:p>
        </w:tc>
        <w:tc>
          <w:tcPr>
            <w:tcW w:w="1082" w:type="dxa"/>
            <w:tcBorders>
              <w:bottom w:val="single" w:color="auto" w:sz="4" w:space="0"/>
            </w:tcBorders>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习题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31" w:type="dxa"/>
            <w:tcBorders>
              <w:bottom w:val="single" w:color="auto" w:sz="4" w:space="0"/>
            </w:tcBorders>
            <w:vAlign w:val="center"/>
          </w:tcPr>
          <w:p>
            <w:pPr>
              <w:spacing w:after="0" w:line="0" w:lineRule="atLeast"/>
              <w:rPr>
                <w:rFonts w:ascii="宋体" w:hAnsi="宋体" w:eastAsia="宋体"/>
                <w:sz w:val="21"/>
                <w:szCs w:val="21"/>
                <w:lang w:eastAsia="zh-CN"/>
              </w:rPr>
            </w:pPr>
            <w:r>
              <w:rPr>
                <w:rFonts w:ascii="宋体" w:hAnsi="宋体" w:eastAsia="宋体"/>
                <w:sz w:val="21"/>
                <w:szCs w:val="21"/>
                <w:lang w:eastAsia="zh-CN"/>
              </w:rPr>
              <w:t>6</w:t>
            </w:r>
          </w:p>
        </w:tc>
        <w:tc>
          <w:tcPr>
            <w:tcW w:w="1709" w:type="dxa"/>
            <w:gridSpan w:val="2"/>
            <w:tcBorders>
              <w:bottom w:val="single" w:color="auto" w:sz="4" w:space="0"/>
            </w:tcBorders>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不完全竞争的市场</w:t>
            </w:r>
          </w:p>
        </w:tc>
        <w:tc>
          <w:tcPr>
            <w:tcW w:w="618" w:type="dxa"/>
            <w:tcBorders>
              <w:bottom w:val="single" w:color="auto" w:sz="4" w:space="0"/>
            </w:tcBorders>
            <w:vAlign w:val="center"/>
          </w:tcPr>
          <w:p>
            <w:pPr>
              <w:spacing w:after="0" w:line="0" w:lineRule="atLeast"/>
              <w:rPr>
                <w:rFonts w:ascii="宋体" w:hAnsi="宋体" w:eastAsia="宋体"/>
                <w:sz w:val="21"/>
                <w:szCs w:val="21"/>
                <w:lang w:eastAsia="zh-CN"/>
              </w:rPr>
            </w:pPr>
            <w:r>
              <w:rPr>
                <w:rFonts w:ascii="宋体" w:hAnsi="宋体" w:eastAsia="宋体"/>
                <w:sz w:val="21"/>
                <w:szCs w:val="21"/>
                <w:lang w:eastAsia="zh-CN"/>
              </w:rPr>
              <w:t>5</w:t>
            </w:r>
          </w:p>
        </w:tc>
        <w:tc>
          <w:tcPr>
            <w:tcW w:w="3990" w:type="dxa"/>
            <w:gridSpan w:val="3"/>
            <w:tcBorders>
              <w:bottom w:val="single" w:color="auto" w:sz="4" w:space="0"/>
            </w:tcBorders>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首先应明确不同市场的形成条件，知道不同市场厂商所面临的需求曲线和收益曲线；其次，熟练掌握不同市场情况下厂商均衡的条件和厂商的最优市场决策，最后能分析不同市场厂商的资源配置效率。</w:t>
            </w:r>
          </w:p>
        </w:tc>
        <w:tc>
          <w:tcPr>
            <w:tcW w:w="1171" w:type="dxa"/>
            <w:gridSpan w:val="2"/>
            <w:tcBorders>
              <w:bottom w:val="single" w:color="auto" w:sz="4" w:space="0"/>
            </w:tcBorders>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课堂</w:t>
            </w:r>
            <w:r>
              <w:rPr>
                <w:rFonts w:ascii="宋体" w:hAnsi="宋体" w:eastAsia="宋体"/>
                <w:sz w:val="21"/>
                <w:szCs w:val="21"/>
                <w:lang w:eastAsia="zh-CN"/>
              </w:rPr>
              <w:t>讲授</w:t>
            </w:r>
            <w:r>
              <w:rPr>
                <w:rFonts w:hint="eastAsia" w:ascii="宋体" w:hAnsi="宋体" w:eastAsia="宋体"/>
                <w:sz w:val="21"/>
                <w:szCs w:val="21"/>
                <w:lang w:eastAsia="zh-CN"/>
              </w:rPr>
              <w:t>+小</w:t>
            </w:r>
            <w:r>
              <w:rPr>
                <w:rFonts w:ascii="宋体" w:hAnsi="宋体" w:eastAsia="宋体"/>
                <w:sz w:val="21"/>
                <w:szCs w:val="21"/>
                <w:lang w:eastAsia="zh-CN"/>
              </w:rPr>
              <w:t>组</w:t>
            </w:r>
            <w:r>
              <w:rPr>
                <w:rFonts w:hint="eastAsia" w:ascii="宋体" w:hAnsi="宋体" w:eastAsia="宋体"/>
                <w:sz w:val="21"/>
                <w:szCs w:val="21"/>
                <w:lang w:eastAsia="zh-CN"/>
              </w:rPr>
              <w:t>讨论</w:t>
            </w:r>
          </w:p>
        </w:tc>
        <w:tc>
          <w:tcPr>
            <w:tcW w:w="1082" w:type="dxa"/>
            <w:tcBorders>
              <w:bottom w:val="single" w:color="auto" w:sz="4" w:space="0"/>
            </w:tcBorders>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习题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31"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CN"/>
              </w:rPr>
            </w:pPr>
            <w:r>
              <w:rPr>
                <w:rFonts w:ascii="宋体" w:hAnsi="宋体" w:eastAsia="宋体"/>
                <w:sz w:val="21"/>
                <w:szCs w:val="21"/>
                <w:lang w:eastAsia="zh-CN"/>
              </w:rPr>
              <w:t>7</w:t>
            </w:r>
          </w:p>
        </w:tc>
        <w:tc>
          <w:tcPr>
            <w:tcW w:w="1709"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生产要素市场和收入分配</w:t>
            </w:r>
          </w:p>
        </w:tc>
        <w:tc>
          <w:tcPr>
            <w:tcW w:w="618"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CN"/>
              </w:rPr>
            </w:pPr>
            <w:r>
              <w:rPr>
                <w:rFonts w:ascii="宋体" w:hAnsi="宋体" w:eastAsia="宋体"/>
                <w:sz w:val="21"/>
                <w:szCs w:val="21"/>
                <w:lang w:eastAsia="zh-CN"/>
              </w:rPr>
              <w:t>5</w:t>
            </w:r>
          </w:p>
        </w:tc>
        <w:tc>
          <w:tcPr>
            <w:tcW w:w="3990" w:type="dxa"/>
            <w:gridSpan w:val="3"/>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分析完全市场条件下，厂商对生产要素的需求原则，主要生产要素供给状况，以及收入分配的平等程度的衡量。</w:t>
            </w:r>
          </w:p>
        </w:tc>
        <w:tc>
          <w:tcPr>
            <w:tcW w:w="1171"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课堂</w:t>
            </w:r>
            <w:r>
              <w:rPr>
                <w:rFonts w:ascii="宋体" w:hAnsi="宋体" w:eastAsia="宋体"/>
                <w:sz w:val="21"/>
                <w:szCs w:val="21"/>
                <w:lang w:eastAsia="zh-CN"/>
              </w:rPr>
              <w:t>讲授</w:t>
            </w:r>
          </w:p>
        </w:tc>
        <w:tc>
          <w:tcPr>
            <w:tcW w:w="1082"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习题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31"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CN"/>
              </w:rPr>
            </w:pPr>
            <w:r>
              <w:rPr>
                <w:rFonts w:ascii="宋体" w:hAnsi="宋体" w:eastAsia="宋体"/>
                <w:sz w:val="21"/>
                <w:szCs w:val="21"/>
                <w:lang w:eastAsia="zh-CN"/>
              </w:rPr>
              <w:t>8</w:t>
            </w:r>
          </w:p>
        </w:tc>
        <w:tc>
          <w:tcPr>
            <w:tcW w:w="1709"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一般均衡和效率</w:t>
            </w:r>
          </w:p>
        </w:tc>
        <w:tc>
          <w:tcPr>
            <w:tcW w:w="618"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4</w:t>
            </w:r>
          </w:p>
        </w:tc>
        <w:tc>
          <w:tcPr>
            <w:tcW w:w="3990" w:type="dxa"/>
            <w:gridSpan w:val="3"/>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从总体角度分析生产、交易的均衡含义和条件，说明帕累托效率的体制要求。</w:t>
            </w:r>
          </w:p>
        </w:tc>
        <w:tc>
          <w:tcPr>
            <w:tcW w:w="1171"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课堂</w:t>
            </w:r>
            <w:r>
              <w:rPr>
                <w:rFonts w:ascii="宋体" w:hAnsi="宋体" w:eastAsia="宋体"/>
                <w:sz w:val="21"/>
                <w:szCs w:val="21"/>
                <w:lang w:eastAsia="zh-CN"/>
              </w:rPr>
              <w:t>讲授</w:t>
            </w:r>
            <w:r>
              <w:rPr>
                <w:rFonts w:hint="eastAsia" w:ascii="宋体" w:hAnsi="宋体" w:eastAsia="宋体"/>
                <w:sz w:val="21"/>
                <w:szCs w:val="21"/>
                <w:lang w:eastAsia="zh-CN"/>
              </w:rPr>
              <w:t>+小</w:t>
            </w:r>
            <w:r>
              <w:rPr>
                <w:rFonts w:ascii="宋体" w:hAnsi="宋体" w:eastAsia="宋体"/>
                <w:sz w:val="21"/>
                <w:szCs w:val="21"/>
                <w:lang w:eastAsia="zh-CN"/>
              </w:rPr>
              <w:t>组</w:t>
            </w:r>
            <w:r>
              <w:rPr>
                <w:rFonts w:hint="eastAsia" w:ascii="宋体" w:hAnsi="宋体" w:eastAsia="宋体"/>
                <w:sz w:val="21"/>
                <w:szCs w:val="21"/>
                <w:lang w:eastAsia="zh-CN"/>
              </w:rPr>
              <w:t>讨论</w:t>
            </w:r>
          </w:p>
        </w:tc>
        <w:tc>
          <w:tcPr>
            <w:tcW w:w="1082"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习题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31"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CN"/>
              </w:rPr>
            </w:pPr>
            <w:r>
              <w:rPr>
                <w:rFonts w:ascii="宋体" w:hAnsi="宋体" w:eastAsia="宋体"/>
                <w:sz w:val="21"/>
                <w:szCs w:val="21"/>
                <w:lang w:eastAsia="zh-CN"/>
              </w:rPr>
              <w:t>9</w:t>
            </w:r>
          </w:p>
        </w:tc>
        <w:tc>
          <w:tcPr>
            <w:tcW w:w="1709"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市场失灵与微观经济政策</w:t>
            </w:r>
          </w:p>
        </w:tc>
        <w:tc>
          <w:tcPr>
            <w:tcW w:w="618"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6</w:t>
            </w:r>
          </w:p>
        </w:tc>
        <w:tc>
          <w:tcPr>
            <w:tcW w:w="3990" w:type="dxa"/>
            <w:gridSpan w:val="3"/>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以垄断、外部性、公共产品及非对称信息为前提，分析市场机制的失灵及其政府的作用。学习本章主要从一般意义上知道导致市场失灵的原因及其解决的方法。</w:t>
            </w:r>
          </w:p>
        </w:tc>
        <w:tc>
          <w:tcPr>
            <w:tcW w:w="1171"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课堂</w:t>
            </w:r>
            <w:r>
              <w:rPr>
                <w:rFonts w:ascii="宋体" w:hAnsi="宋体" w:eastAsia="宋体"/>
                <w:sz w:val="21"/>
                <w:szCs w:val="21"/>
                <w:lang w:eastAsia="zh-CN"/>
              </w:rPr>
              <w:t>讲授</w:t>
            </w:r>
            <w:r>
              <w:rPr>
                <w:rFonts w:hint="eastAsia" w:ascii="宋体" w:hAnsi="宋体" w:eastAsia="宋体"/>
                <w:sz w:val="21"/>
                <w:szCs w:val="21"/>
                <w:lang w:eastAsia="zh-CN"/>
              </w:rPr>
              <w:t>+小</w:t>
            </w:r>
            <w:r>
              <w:rPr>
                <w:rFonts w:ascii="宋体" w:hAnsi="宋体" w:eastAsia="宋体"/>
                <w:sz w:val="21"/>
                <w:szCs w:val="21"/>
                <w:lang w:eastAsia="zh-CN"/>
              </w:rPr>
              <w:t>组</w:t>
            </w:r>
            <w:r>
              <w:rPr>
                <w:rFonts w:hint="eastAsia" w:ascii="宋体" w:hAnsi="宋体" w:eastAsia="宋体"/>
                <w:sz w:val="21"/>
                <w:szCs w:val="21"/>
                <w:lang w:eastAsia="zh-CN"/>
              </w:rPr>
              <w:t>讨论</w:t>
            </w:r>
          </w:p>
        </w:tc>
        <w:tc>
          <w:tcPr>
            <w:tcW w:w="1082"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习题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31"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CN"/>
              </w:rPr>
            </w:pPr>
            <w:r>
              <w:rPr>
                <w:rFonts w:ascii="宋体" w:hAnsi="宋体" w:eastAsia="宋体"/>
                <w:sz w:val="21"/>
                <w:szCs w:val="21"/>
                <w:lang w:eastAsia="zh-CN"/>
              </w:rPr>
              <w:t>10</w:t>
            </w:r>
          </w:p>
        </w:tc>
        <w:tc>
          <w:tcPr>
            <w:tcW w:w="1709"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复习总</w:t>
            </w:r>
            <w:r>
              <w:rPr>
                <w:rFonts w:ascii="宋体" w:hAnsi="宋体" w:eastAsia="宋体"/>
                <w:sz w:val="21"/>
                <w:szCs w:val="21"/>
                <w:lang w:eastAsia="zh-CN"/>
              </w:rPr>
              <w:t>结</w:t>
            </w:r>
          </w:p>
        </w:tc>
        <w:tc>
          <w:tcPr>
            <w:tcW w:w="618"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CN"/>
              </w:rPr>
            </w:pPr>
            <w:r>
              <w:rPr>
                <w:rFonts w:ascii="宋体" w:hAnsi="宋体" w:eastAsia="宋体"/>
                <w:sz w:val="21"/>
                <w:szCs w:val="21"/>
                <w:lang w:eastAsia="zh-CN"/>
              </w:rPr>
              <w:t>3</w:t>
            </w:r>
          </w:p>
        </w:tc>
        <w:tc>
          <w:tcPr>
            <w:tcW w:w="3990" w:type="dxa"/>
            <w:gridSpan w:val="3"/>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课程</w:t>
            </w:r>
            <w:r>
              <w:rPr>
                <w:rFonts w:ascii="宋体" w:hAnsi="宋体" w:eastAsia="宋体"/>
                <w:sz w:val="21"/>
                <w:szCs w:val="21"/>
                <w:lang w:eastAsia="zh-CN"/>
              </w:rPr>
              <w:t>总结</w:t>
            </w:r>
            <w:r>
              <w:rPr>
                <w:rFonts w:hint="eastAsia" w:ascii="宋体" w:hAnsi="宋体" w:eastAsia="宋体"/>
                <w:sz w:val="21"/>
                <w:szCs w:val="21"/>
                <w:lang w:eastAsia="zh-CN"/>
              </w:rPr>
              <w:t>，课程复习</w:t>
            </w:r>
            <w:r>
              <w:rPr>
                <w:rFonts w:ascii="宋体" w:hAnsi="宋体" w:eastAsia="宋体"/>
                <w:sz w:val="21"/>
                <w:szCs w:val="21"/>
                <w:lang w:eastAsia="zh-CN"/>
              </w:rPr>
              <w:t>，</w:t>
            </w:r>
            <w:r>
              <w:rPr>
                <w:rFonts w:hint="eastAsia" w:ascii="宋体" w:hAnsi="宋体" w:eastAsia="宋体"/>
                <w:sz w:val="21"/>
                <w:szCs w:val="21"/>
                <w:lang w:eastAsia="zh-CN"/>
              </w:rPr>
              <w:t>课程</w:t>
            </w:r>
            <w:r>
              <w:rPr>
                <w:rFonts w:ascii="宋体" w:hAnsi="宋体" w:eastAsia="宋体"/>
                <w:sz w:val="21"/>
                <w:szCs w:val="21"/>
                <w:lang w:eastAsia="zh-CN"/>
              </w:rPr>
              <w:t>答疑</w:t>
            </w:r>
          </w:p>
        </w:tc>
        <w:tc>
          <w:tcPr>
            <w:tcW w:w="1171"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课堂</w:t>
            </w:r>
            <w:r>
              <w:rPr>
                <w:rFonts w:ascii="宋体" w:hAnsi="宋体" w:eastAsia="宋体"/>
                <w:sz w:val="21"/>
                <w:szCs w:val="21"/>
                <w:lang w:eastAsia="zh-CN"/>
              </w:rPr>
              <w:t>讲授</w:t>
            </w:r>
            <w:r>
              <w:rPr>
                <w:rFonts w:hint="eastAsia" w:ascii="宋体" w:hAnsi="宋体" w:eastAsia="宋体"/>
                <w:sz w:val="21"/>
                <w:szCs w:val="21"/>
                <w:lang w:eastAsia="zh-CN"/>
              </w:rPr>
              <w:t>+答疑</w:t>
            </w:r>
          </w:p>
        </w:tc>
        <w:tc>
          <w:tcPr>
            <w:tcW w:w="1082"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习题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540" w:type="dxa"/>
            <w:gridSpan w:val="3"/>
            <w:tcBorders>
              <w:top w:val="single" w:color="auto" w:sz="4" w:space="0"/>
            </w:tcBorders>
            <w:vAlign w:val="center"/>
          </w:tcPr>
          <w:p>
            <w:pPr>
              <w:spacing w:after="0" w:line="0" w:lineRule="atLeast"/>
              <w:jc w:val="right"/>
              <w:rPr>
                <w:rFonts w:ascii="宋体" w:hAnsi="宋体" w:eastAsia="宋体"/>
                <w:sz w:val="21"/>
                <w:szCs w:val="21"/>
              </w:rPr>
            </w:pPr>
            <w:r>
              <w:rPr>
                <w:rFonts w:hint="eastAsia" w:ascii="宋体" w:hAnsi="宋体" w:eastAsia="宋体"/>
                <w:b/>
                <w:sz w:val="21"/>
                <w:szCs w:val="21"/>
              </w:rPr>
              <w:t>合计：</w:t>
            </w:r>
          </w:p>
        </w:tc>
        <w:tc>
          <w:tcPr>
            <w:tcW w:w="618" w:type="dxa"/>
            <w:tcBorders>
              <w:top w:val="single" w:color="auto" w:sz="4" w:space="0"/>
            </w:tcBorders>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4</w:t>
            </w:r>
            <w:r>
              <w:rPr>
                <w:rFonts w:ascii="宋体" w:hAnsi="宋体" w:eastAsia="宋体"/>
                <w:sz w:val="21"/>
                <w:szCs w:val="21"/>
                <w:lang w:eastAsia="zh-CN"/>
              </w:rPr>
              <w:t>5</w:t>
            </w:r>
          </w:p>
        </w:tc>
        <w:tc>
          <w:tcPr>
            <w:tcW w:w="3990" w:type="dxa"/>
            <w:gridSpan w:val="3"/>
            <w:tcBorders>
              <w:top w:val="single" w:color="auto" w:sz="4" w:space="0"/>
            </w:tcBorders>
            <w:vAlign w:val="center"/>
          </w:tcPr>
          <w:p>
            <w:pPr>
              <w:spacing w:after="0" w:line="0" w:lineRule="atLeast"/>
              <w:rPr>
                <w:rFonts w:ascii="宋体" w:hAnsi="宋体" w:eastAsia="宋体"/>
                <w:sz w:val="21"/>
                <w:szCs w:val="21"/>
              </w:rPr>
            </w:pPr>
          </w:p>
        </w:tc>
        <w:tc>
          <w:tcPr>
            <w:tcW w:w="1171" w:type="dxa"/>
            <w:gridSpan w:val="2"/>
            <w:tcBorders>
              <w:top w:val="single" w:color="auto" w:sz="4" w:space="0"/>
            </w:tcBorders>
            <w:vAlign w:val="center"/>
          </w:tcPr>
          <w:p>
            <w:pPr>
              <w:spacing w:after="0" w:line="0" w:lineRule="atLeast"/>
              <w:rPr>
                <w:rFonts w:ascii="宋体" w:hAnsi="宋体" w:eastAsia="宋体"/>
                <w:sz w:val="21"/>
                <w:szCs w:val="21"/>
              </w:rPr>
            </w:pPr>
          </w:p>
        </w:tc>
        <w:tc>
          <w:tcPr>
            <w:tcW w:w="1082" w:type="dxa"/>
            <w:tcBorders>
              <w:top w:val="single" w:color="auto" w:sz="4" w:space="0"/>
            </w:tcBorders>
            <w:vAlign w:val="center"/>
          </w:tcPr>
          <w:p>
            <w:pPr>
              <w:spacing w:after="0" w:line="0" w:lineRule="atLeast"/>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shd w:val="clear" w:color="auto" w:fill="C0C0C0"/>
            <w:vAlign w:val="center"/>
          </w:tcPr>
          <w:p>
            <w:pPr>
              <w:tabs>
                <w:tab w:val="left" w:pos="1440"/>
              </w:tabs>
              <w:spacing w:after="0" w:line="0" w:lineRule="atLeast"/>
              <w:jc w:val="center"/>
              <w:outlineLvl w:val="0"/>
              <w:rPr>
                <w:rFonts w:ascii="宋体" w:hAnsi="宋体" w:eastAsia="宋体"/>
                <w:b/>
                <w:szCs w:val="21"/>
                <w:lang w:eastAsia="zh-CN"/>
              </w:rPr>
            </w:pPr>
            <w:r>
              <w:rPr>
                <w:rFonts w:hint="eastAsia" w:ascii="宋体" w:hAnsi="宋体" w:eastAsia="宋体"/>
                <w:b/>
                <w:szCs w:val="21"/>
                <w:lang w:eastAsia="zh-CN"/>
              </w:rPr>
              <w:t>成绩评定方法及标准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181" w:type="dxa"/>
            <w:gridSpan w:val="2"/>
            <w:vAlign w:val="center"/>
          </w:tcPr>
          <w:p>
            <w:pPr>
              <w:snapToGrid w:val="0"/>
              <w:spacing w:after="0" w:line="0" w:lineRule="atLeast"/>
              <w:jc w:val="center"/>
              <w:rPr>
                <w:rFonts w:ascii="宋体" w:hAnsi="宋体" w:eastAsia="宋体"/>
                <w:b/>
                <w:sz w:val="21"/>
                <w:szCs w:val="21"/>
                <w:lang w:eastAsia="zh-CN"/>
              </w:rPr>
            </w:pPr>
            <w:r>
              <w:rPr>
                <w:rFonts w:hint="eastAsia" w:ascii="宋体" w:hAnsi="宋体" w:eastAsia="宋体"/>
                <w:b/>
                <w:sz w:val="21"/>
                <w:szCs w:val="21"/>
              </w:rPr>
              <w:t>考核</w:t>
            </w:r>
            <w:r>
              <w:rPr>
                <w:rFonts w:hint="eastAsia" w:ascii="宋体" w:hAnsi="宋体" w:eastAsia="宋体"/>
                <w:b/>
                <w:sz w:val="21"/>
                <w:szCs w:val="21"/>
                <w:lang w:eastAsia="zh-CN"/>
              </w:rPr>
              <w:t>形式</w:t>
            </w:r>
          </w:p>
        </w:tc>
        <w:tc>
          <w:tcPr>
            <w:tcW w:w="5655" w:type="dxa"/>
            <w:gridSpan w:val="6"/>
            <w:vAlign w:val="center"/>
          </w:tcPr>
          <w:p>
            <w:pPr>
              <w:snapToGrid w:val="0"/>
              <w:spacing w:after="0" w:line="0" w:lineRule="atLeast"/>
              <w:ind w:left="180"/>
              <w:jc w:val="center"/>
              <w:rPr>
                <w:rFonts w:ascii="宋体" w:hAnsi="宋体" w:eastAsia="宋体"/>
                <w:b/>
                <w:sz w:val="21"/>
                <w:szCs w:val="21"/>
              </w:rPr>
            </w:pPr>
            <w:r>
              <w:rPr>
                <w:rFonts w:hint="eastAsia" w:ascii="宋体" w:hAnsi="宋体" w:eastAsia="宋体"/>
                <w:b/>
                <w:sz w:val="21"/>
                <w:szCs w:val="21"/>
              </w:rPr>
              <w:t>评价标准</w:t>
            </w:r>
          </w:p>
        </w:tc>
        <w:tc>
          <w:tcPr>
            <w:tcW w:w="1565" w:type="dxa"/>
            <w:gridSpan w:val="2"/>
            <w:vAlign w:val="center"/>
          </w:tcPr>
          <w:p>
            <w:pPr>
              <w:snapToGrid w:val="0"/>
              <w:spacing w:after="0" w:line="0" w:lineRule="atLeast"/>
              <w:ind w:left="180"/>
              <w:jc w:val="center"/>
              <w:rPr>
                <w:rFonts w:ascii="宋体" w:hAnsi="宋体" w:eastAsia="宋体"/>
                <w:b/>
                <w:sz w:val="21"/>
                <w:szCs w:val="21"/>
              </w:rPr>
            </w:pPr>
            <w:r>
              <w:rPr>
                <w:rFonts w:hint="eastAsia" w:ascii="宋体" w:hAnsi="宋体" w:eastAsia="宋体"/>
                <w:b/>
                <w:sz w:val="21"/>
                <w:szCs w:val="21"/>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31" w:type="dxa"/>
            <w:vMerge w:val="restart"/>
            <w:vAlign w:val="center"/>
          </w:tcPr>
          <w:p>
            <w:pPr>
              <w:snapToGrid w:val="0"/>
              <w:spacing w:after="0" w:line="0" w:lineRule="atLeast"/>
              <w:jc w:val="center"/>
              <w:rPr>
                <w:rFonts w:ascii="宋体" w:hAnsi="宋体" w:eastAsia="宋体"/>
                <w:sz w:val="21"/>
                <w:szCs w:val="21"/>
                <w:lang w:eastAsia="zh-CN"/>
              </w:rPr>
            </w:pPr>
            <w:r>
              <w:rPr>
                <w:rFonts w:hint="eastAsia" w:ascii="宋体" w:hAnsi="宋体" w:eastAsia="宋体"/>
                <w:sz w:val="21"/>
                <w:szCs w:val="21"/>
                <w:lang w:eastAsia="zh-CN"/>
              </w:rPr>
              <w:t>作业</w:t>
            </w:r>
          </w:p>
        </w:tc>
        <w:tc>
          <w:tcPr>
            <w:tcW w:w="1350" w:type="dxa"/>
            <w:vAlign w:val="center"/>
          </w:tcPr>
          <w:p>
            <w:pPr>
              <w:snapToGrid w:val="0"/>
              <w:spacing w:after="0" w:line="0" w:lineRule="atLeast"/>
              <w:rPr>
                <w:rFonts w:ascii="宋体" w:hAnsi="宋体" w:eastAsia="宋体"/>
                <w:sz w:val="21"/>
                <w:szCs w:val="21"/>
                <w:lang w:eastAsia="zh-CN"/>
              </w:rPr>
            </w:pPr>
            <w:r>
              <w:rPr>
                <w:rFonts w:hint="eastAsia" w:ascii="宋体" w:hAnsi="宋体" w:eastAsia="宋体"/>
                <w:sz w:val="21"/>
                <w:szCs w:val="21"/>
                <w:lang w:eastAsia="zh-CN"/>
              </w:rPr>
              <w:t>习题</w:t>
            </w:r>
          </w:p>
        </w:tc>
        <w:tc>
          <w:tcPr>
            <w:tcW w:w="5655" w:type="dxa"/>
            <w:gridSpan w:val="6"/>
            <w:vAlign w:val="center"/>
          </w:tcPr>
          <w:p>
            <w:pPr>
              <w:snapToGrid w:val="0"/>
              <w:spacing w:after="0" w:line="0" w:lineRule="atLeast"/>
              <w:rPr>
                <w:rFonts w:ascii="宋体" w:hAnsi="宋体" w:eastAsia="宋体"/>
                <w:sz w:val="21"/>
                <w:szCs w:val="21"/>
                <w:lang w:eastAsia="zh-CN"/>
              </w:rPr>
            </w:pPr>
            <w:r>
              <w:rPr>
                <w:rFonts w:hint="eastAsia" w:ascii="宋体" w:hAnsi="宋体" w:eastAsia="宋体"/>
                <w:sz w:val="21"/>
                <w:szCs w:val="21"/>
                <w:lang w:eastAsia="zh-CN"/>
              </w:rPr>
              <w:t>不</w:t>
            </w:r>
            <w:r>
              <w:rPr>
                <w:rFonts w:ascii="宋体" w:hAnsi="宋体" w:eastAsia="宋体"/>
                <w:sz w:val="21"/>
                <w:szCs w:val="21"/>
                <w:lang w:eastAsia="zh-CN"/>
              </w:rPr>
              <w:t>抄袭，独立完成，</w:t>
            </w:r>
            <w:r>
              <w:rPr>
                <w:rFonts w:hint="eastAsia" w:ascii="宋体" w:hAnsi="宋体" w:eastAsia="宋体"/>
                <w:sz w:val="21"/>
                <w:szCs w:val="21"/>
                <w:lang w:eastAsia="zh-CN"/>
              </w:rPr>
              <w:t>书</w:t>
            </w:r>
            <w:r>
              <w:rPr>
                <w:rFonts w:ascii="宋体" w:hAnsi="宋体" w:eastAsia="宋体"/>
                <w:sz w:val="21"/>
                <w:szCs w:val="21"/>
                <w:lang w:eastAsia="zh-CN"/>
              </w:rPr>
              <w:t>写工整，答题正确</w:t>
            </w:r>
          </w:p>
        </w:tc>
        <w:tc>
          <w:tcPr>
            <w:tcW w:w="1565" w:type="dxa"/>
            <w:gridSpan w:val="2"/>
            <w:vAlign w:val="center"/>
          </w:tcPr>
          <w:p>
            <w:pPr>
              <w:snapToGrid w:val="0"/>
              <w:spacing w:after="0" w:line="0" w:lineRule="atLeast"/>
              <w:ind w:left="180"/>
              <w:rPr>
                <w:rFonts w:ascii="宋体" w:hAnsi="宋体" w:eastAsia="宋体"/>
                <w:sz w:val="21"/>
                <w:szCs w:val="21"/>
                <w:lang w:eastAsia="zh-CN"/>
              </w:rPr>
            </w:pPr>
            <w:r>
              <w:rPr>
                <w:rFonts w:hint="eastAsia" w:ascii="宋体" w:hAnsi="宋体" w:eastAsia="宋体"/>
                <w:sz w:val="21"/>
                <w:szCs w:val="21"/>
                <w:lang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31" w:type="dxa"/>
            <w:vMerge w:val="continue"/>
            <w:vAlign w:val="center"/>
          </w:tcPr>
          <w:p>
            <w:pPr>
              <w:snapToGrid w:val="0"/>
              <w:spacing w:after="0" w:line="0" w:lineRule="atLeast"/>
              <w:rPr>
                <w:rFonts w:ascii="宋体" w:hAnsi="宋体" w:eastAsia="宋体"/>
                <w:sz w:val="21"/>
                <w:szCs w:val="21"/>
                <w:lang w:eastAsia="zh-CN"/>
              </w:rPr>
            </w:pPr>
          </w:p>
        </w:tc>
        <w:tc>
          <w:tcPr>
            <w:tcW w:w="1350" w:type="dxa"/>
            <w:vAlign w:val="center"/>
          </w:tcPr>
          <w:p>
            <w:pPr>
              <w:snapToGrid w:val="0"/>
              <w:spacing w:after="0" w:line="0" w:lineRule="atLeast"/>
              <w:rPr>
                <w:rFonts w:ascii="宋体" w:hAnsi="宋体" w:eastAsia="宋体"/>
                <w:sz w:val="21"/>
                <w:szCs w:val="21"/>
                <w:lang w:eastAsia="zh-CN"/>
              </w:rPr>
            </w:pPr>
            <w:r>
              <w:rPr>
                <w:rFonts w:hint="eastAsia" w:ascii="宋体" w:hAnsi="宋体" w:eastAsia="宋体"/>
                <w:sz w:val="21"/>
                <w:szCs w:val="21"/>
                <w:lang w:eastAsia="zh-CN"/>
              </w:rPr>
              <w:t>小组讨论</w:t>
            </w:r>
          </w:p>
        </w:tc>
        <w:tc>
          <w:tcPr>
            <w:tcW w:w="5655" w:type="dxa"/>
            <w:gridSpan w:val="6"/>
            <w:vAlign w:val="center"/>
          </w:tcPr>
          <w:p>
            <w:pPr>
              <w:snapToGrid w:val="0"/>
              <w:spacing w:after="0" w:line="0" w:lineRule="atLeast"/>
              <w:rPr>
                <w:rFonts w:ascii="宋体" w:hAnsi="宋体" w:eastAsia="宋体"/>
                <w:sz w:val="21"/>
                <w:szCs w:val="21"/>
                <w:lang w:eastAsia="zh-CN"/>
              </w:rPr>
            </w:pPr>
            <w:r>
              <w:rPr>
                <w:rFonts w:hint="eastAsia" w:ascii="宋体" w:hAnsi="宋体" w:eastAsia="宋体"/>
                <w:sz w:val="21"/>
                <w:szCs w:val="21"/>
                <w:lang w:eastAsia="zh-CN"/>
              </w:rPr>
              <w:t>积极参与，独立思考，讨论结论</w:t>
            </w:r>
          </w:p>
        </w:tc>
        <w:tc>
          <w:tcPr>
            <w:tcW w:w="1565" w:type="dxa"/>
            <w:gridSpan w:val="2"/>
            <w:vAlign w:val="center"/>
          </w:tcPr>
          <w:p>
            <w:pPr>
              <w:snapToGrid w:val="0"/>
              <w:spacing w:after="0" w:line="0" w:lineRule="atLeast"/>
              <w:ind w:left="180"/>
              <w:rPr>
                <w:rFonts w:ascii="宋体" w:hAnsi="宋体" w:eastAsia="宋体"/>
                <w:sz w:val="21"/>
                <w:szCs w:val="21"/>
                <w:lang w:eastAsia="zh-CN"/>
              </w:rPr>
            </w:pPr>
            <w:r>
              <w:rPr>
                <w:rFonts w:ascii="宋体" w:hAnsi="宋体" w:eastAsia="宋体"/>
                <w:sz w:val="21"/>
                <w:szCs w:val="21"/>
                <w:lang w:eastAsia="zh-CN"/>
              </w:rPr>
              <w:t>5</w:t>
            </w:r>
            <w:r>
              <w:rPr>
                <w:rFonts w:hint="eastAsia" w:ascii="宋体" w:hAnsi="宋体" w:eastAsia="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9" w:hRule="atLeast"/>
          <w:jc w:val="center"/>
        </w:trPr>
        <w:tc>
          <w:tcPr>
            <w:tcW w:w="831" w:type="dxa"/>
            <w:vAlign w:val="center"/>
          </w:tcPr>
          <w:p>
            <w:pPr>
              <w:snapToGrid w:val="0"/>
              <w:spacing w:after="0" w:line="0" w:lineRule="atLeast"/>
              <w:jc w:val="center"/>
              <w:rPr>
                <w:rFonts w:ascii="宋体" w:hAnsi="宋体" w:eastAsia="宋体"/>
                <w:sz w:val="21"/>
                <w:szCs w:val="21"/>
                <w:lang w:eastAsia="zh-CN"/>
              </w:rPr>
            </w:pPr>
            <w:r>
              <w:rPr>
                <w:rFonts w:hint="eastAsia" w:ascii="宋体" w:hAnsi="宋体" w:eastAsia="宋体"/>
                <w:sz w:val="21"/>
                <w:szCs w:val="21"/>
                <w:lang w:eastAsia="zh-CN"/>
              </w:rPr>
              <w:t>出勤</w:t>
            </w:r>
          </w:p>
        </w:tc>
        <w:tc>
          <w:tcPr>
            <w:tcW w:w="1350" w:type="dxa"/>
            <w:vAlign w:val="center"/>
          </w:tcPr>
          <w:p>
            <w:pPr>
              <w:snapToGrid w:val="0"/>
              <w:spacing w:after="0" w:line="0" w:lineRule="atLeast"/>
              <w:rPr>
                <w:rFonts w:ascii="宋体" w:hAnsi="宋体" w:eastAsia="宋体"/>
                <w:sz w:val="21"/>
                <w:szCs w:val="21"/>
                <w:lang w:eastAsia="zh-CN"/>
              </w:rPr>
            </w:pPr>
            <w:r>
              <w:rPr>
                <w:rFonts w:hint="eastAsia" w:ascii="宋体" w:hAnsi="宋体" w:eastAsia="宋体"/>
                <w:sz w:val="21"/>
                <w:szCs w:val="21"/>
                <w:lang w:eastAsia="zh-CN"/>
              </w:rPr>
              <w:t>签到或点名</w:t>
            </w:r>
          </w:p>
        </w:tc>
        <w:tc>
          <w:tcPr>
            <w:tcW w:w="5655" w:type="dxa"/>
            <w:gridSpan w:val="6"/>
            <w:vAlign w:val="center"/>
          </w:tcPr>
          <w:p>
            <w:pPr>
              <w:snapToGrid w:val="0"/>
              <w:spacing w:after="0" w:line="0" w:lineRule="atLeast"/>
              <w:rPr>
                <w:rFonts w:ascii="宋体" w:hAnsi="宋体" w:eastAsia="宋体"/>
                <w:sz w:val="21"/>
                <w:szCs w:val="21"/>
                <w:lang w:eastAsia="zh-CN"/>
              </w:rPr>
            </w:pPr>
            <w:r>
              <w:rPr>
                <w:rFonts w:hint="eastAsia" w:ascii="宋体" w:hAnsi="宋体" w:eastAsia="宋体"/>
                <w:sz w:val="21"/>
                <w:szCs w:val="21"/>
                <w:lang w:eastAsia="zh-CN"/>
              </w:rPr>
              <w:t>迟到、缺课、旷课节数</w:t>
            </w:r>
          </w:p>
        </w:tc>
        <w:tc>
          <w:tcPr>
            <w:tcW w:w="1565" w:type="dxa"/>
            <w:gridSpan w:val="2"/>
            <w:vAlign w:val="center"/>
          </w:tcPr>
          <w:p>
            <w:pPr>
              <w:snapToGrid w:val="0"/>
              <w:spacing w:after="0" w:line="0" w:lineRule="atLeast"/>
              <w:ind w:left="180"/>
              <w:rPr>
                <w:rFonts w:ascii="宋体" w:hAnsi="宋体" w:eastAsia="宋体"/>
                <w:sz w:val="21"/>
                <w:szCs w:val="21"/>
                <w:lang w:eastAsia="zh-CN"/>
              </w:rPr>
            </w:pPr>
            <w:r>
              <w:rPr>
                <w:rFonts w:ascii="宋体" w:hAnsi="宋体" w:eastAsia="宋体"/>
                <w:sz w:val="21"/>
                <w:szCs w:val="21"/>
                <w:lang w:eastAsia="zh-CN"/>
              </w:rPr>
              <w:t>15</w:t>
            </w:r>
            <w:r>
              <w:rPr>
                <w:rFonts w:hint="eastAsia" w:ascii="宋体" w:hAnsi="宋体" w:eastAsia="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181" w:type="dxa"/>
            <w:gridSpan w:val="2"/>
            <w:vAlign w:val="center"/>
          </w:tcPr>
          <w:p>
            <w:pPr>
              <w:snapToGrid w:val="0"/>
              <w:spacing w:after="0" w:line="0" w:lineRule="atLeast"/>
              <w:rPr>
                <w:rFonts w:ascii="宋体" w:hAnsi="宋体" w:eastAsia="宋体"/>
                <w:sz w:val="21"/>
                <w:szCs w:val="21"/>
                <w:lang w:eastAsia="zh-CN"/>
              </w:rPr>
            </w:pPr>
            <w:r>
              <w:rPr>
                <w:rFonts w:hint="eastAsia" w:ascii="宋体" w:hAnsi="宋体" w:eastAsia="宋体"/>
                <w:sz w:val="21"/>
                <w:szCs w:val="21"/>
                <w:lang w:eastAsia="zh-CN"/>
              </w:rPr>
              <w:t>期中</w:t>
            </w:r>
            <w:r>
              <w:rPr>
                <w:rFonts w:ascii="宋体" w:hAnsi="宋体" w:eastAsia="宋体"/>
                <w:sz w:val="21"/>
                <w:szCs w:val="21"/>
                <w:lang w:eastAsia="zh-CN"/>
              </w:rPr>
              <w:t>考试</w:t>
            </w:r>
          </w:p>
        </w:tc>
        <w:tc>
          <w:tcPr>
            <w:tcW w:w="5655" w:type="dxa"/>
            <w:gridSpan w:val="6"/>
            <w:vAlign w:val="center"/>
          </w:tcPr>
          <w:p>
            <w:pPr>
              <w:snapToGrid w:val="0"/>
              <w:spacing w:after="0" w:line="0" w:lineRule="atLeast"/>
              <w:rPr>
                <w:rFonts w:ascii="宋体" w:hAnsi="宋体" w:eastAsia="宋体"/>
                <w:sz w:val="21"/>
                <w:szCs w:val="21"/>
                <w:lang w:eastAsia="zh-CN"/>
              </w:rPr>
            </w:pPr>
            <w:r>
              <w:rPr>
                <w:rFonts w:hint="eastAsia" w:ascii="宋体" w:hAnsi="宋体" w:eastAsia="宋体"/>
                <w:sz w:val="21"/>
                <w:szCs w:val="21"/>
                <w:lang w:eastAsia="zh-CN"/>
              </w:rPr>
              <w:t>书</w:t>
            </w:r>
            <w:r>
              <w:rPr>
                <w:rFonts w:ascii="宋体" w:hAnsi="宋体" w:eastAsia="宋体"/>
                <w:sz w:val="21"/>
                <w:szCs w:val="21"/>
                <w:lang w:eastAsia="zh-CN"/>
              </w:rPr>
              <w:t>写工整，</w:t>
            </w:r>
            <w:r>
              <w:rPr>
                <w:rFonts w:hint="eastAsia" w:ascii="宋体" w:hAnsi="宋体" w:eastAsia="宋体"/>
                <w:sz w:val="21"/>
                <w:szCs w:val="21"/>
                <w:lang w:eastAsia="zh-CN"/>
              </w:rPr>
              <w:t>答题</w:t>
            </w:r>
            <w:r>
              <w:rPr>
                <w:rFonts w:ascii="宋体" w:hAnsi="宋体" w:eastAsia="宋体"/>
                <w:sz w:val="21"/>
                <w:szCs w:val="21"/>
                <w:lang w:eastAsia="zh-CN"/>
              </w:rPr>
              <w:t>正确</w:t>
            </w:r>
          </w:p>
        </w:tc>
        <w:tc>
          <w:tcPr>
            <w:tcW w:w="1565" w:type="dxa"/>
            <w:gridSpan w:val="2"/>
            <w:vAlign w:val="center"/>
          </w:tcPr>
          <w:p>
            <w:pPr>
              <w:snapToGrid w:val="0"/>
              <w:spacing w:after="0" w:line="0" w:lineRule="atLeast"/>
              <w:ind w:left="180"/>
              <w:rPr>
                <w:rFonts w:ascii="宋体" w:hAnsi="宋体" w:eastAsia="宋体"/>
                <w:sz w:val="21"/>
                <w:szCs w:val="21"/>
                <w:lang w:eastAsia="zh-CN"/>
              </w:rPr>
            </w:pPr>
            <w:r>
              <w:rPr>
                <w:rFonts w:ascii="宋体" w:hAnsi="宋体" w:eastAsia="宋体"/>
                <w:sz w:val="21"/>
                <w:szCs w:val="21"/>
                <w:lang w:eastAsia="zh-CN"/>
              </w:rPr>
              <w:t>20</w:t>
            </w:r>
            <w:r>
              <w:rPr>
                <w:rFonts w:hint="eastAsia" w:ascii="宋体" w:hAnsi="宋体" w:eastAsia="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181" w:type="dxa"/>
            <w:gridSpan w:val="2"/>
            <w:vAlign w:val="center"/>
          </w:tcPr>
          <w:p>
            <w:pPr>
              <w:snapToGrid w:val="0"/>
              <w:spacing w:after="0" w:line="0" w:lineRule="atLeast"/>
              <w:rPr>
                <w:rFonts w:ascii="宋体" w:hAnsi="宋体" w:eastAsia="宋体"/>
                <w:sz w:val="21"/>
                <w:szCs w:val="21"/>
                <w:lang w:eastAsia="zh-CN"/>
              </w:rPr>
            </w:pPr>
            <w:r>
              <w:rPr>
                <w:rFonts w:hint="eastAsia" w:ascii="宋体" w:hAnsi="宋体" w:eastAsia="宋体"/>
                <w:sz w:val="21"/>
                <w:szCs w:val="21"/>
                <w:lang w:eastAsia="zh-CN"/>
              </w:rPr>
              <w:t>期末</w:t>
            </w:r>
            <w:r>
              <w:rPr>
                <w:rFonts w:ascii="宋体" w:hAnsi="宋体" w:eastAsia="宋体"/>
                <w:sz w:val="21"/>
                <w:szCs w:val="21"/>
                <w:lang w:eastAsia="zh-CN"/>
              </w:rPr>
              <w:t>考试</w:t>
            </w:r>
          </w:p>
        </w:tc>
        <w:tc>
          <w:tcPr>
            <w:tcW w:w="5655" w:type="dxa"/>
            <w:gridSpan w:val="6"/>
            <w:vAlign w:val="center"/>
          </w:tcPr>
          <w:p>
            <w:pPr>
              <w:snapToGrid w:val="0"/>
              <w:spacing w:after="0" w:line="0" w:lineRule="atLeast"/>
              <w:rPr>
                <w:rFonts w:ascii="宋体" w:hAnsi="宋体" w:eastAsia="宋体"/>
                <w:sz w:val="21"/>
                <w:szCs w:val="21"/>
                <w:lang w:eastAsia="zh-CN"/>
              </w:rPr>
            </w:pPr>
            <w:r>
              <w:rPr>
                <w:rFonts w:hint="eastAsia" w:ascii="宋体" w:hAnsi="宋体" w:eastAsia="宋体"/>
                <w:sz w:val="21"/>
                <w:szCs w:val="21"/>
                <w:lang w:eastAsia="zh-CN"/>
              </w:rPr>
              <w:t>书</w:t>
            </w:r>
            <w:r>
              <w:rPr>
                <w:rFonts w:ascii="宋体" w:hAnsi="宋体" w:eastAsia="宋体"/>
                <w:sz w:val="21"/>
                <w:szCs w:val="21"/>
                <w:lang w:eastAsia="zh-CN"/>
              </w:rPr>
              <w:t>写工整，</w:t>
            </w:r>
            <w:r>
              <w:rPr>
                <w:rFonts w:hint="eastAsia" w:ascii="宋体" w:hAnsi="宋体" w:eastAsia="宋体"/>
                <w:sz w:val="21"/>
                <w:szCs w:val="21"/>
                <w:lang w:eastAsia="zh-CN"/>
              </w:rPr>
              <w:t>答题</w:t>
            </w:r>
            <w:r>
              <w:rPr>
                <w:rFonts w:ascii="宋体" w:hAnsi="宋体" w:eastAsia="宋体"/>
                <w:sz w:val="21"/>
                <w:szCs w:val="21"/>
                <w:lang w:eastAsia="zh-CN"/>
              </w:rPr>
              <w:t>正确</w:t>
            </w:r>
          </w:p>
        </w:tc>
        <w:tc>
          <w:tcPr>
            <w:tcW w:w="1565" w:type="dxa"/>
            <w:gridSpan w:val="2"/>
            <w:vAlign w:val="center"/>
          </w:tcPr>
          <w:p>
            <w:pPr>
              <w:snapToGrid w:val="0"/>
              <w:spacing w:after="0" w:line="0" w:lineRule="atLeast"/>
              <w:ind w:left="180"/>
              <w:rPr>
                <w:rFonts w:ascii="宋体" w:hAnsi="宋体" w:eastAsia="宋体"/>
                <w:sz w:val="21"/>
                <w:szCs w:val="21"/>
                <w:lang w:eastAsia="zh-CN"/>
              </w:rPr>
            </w:pPr>
            <w:r>
              <w:rPr>
                <w:rFonts w:ascii="宋体" w:hAnsi="宋体" w:eastAsia="宋体"/>
                <w:sz w:val="21"/>
                <w:szCs w:val="21"/>
                <w:lang w:eastAsia="zh-CN"/>
              </w:rPr>
              <w:t>5</w:t>
            </w:r>
            <w:r>
              <w:rPr>
                <w:rFonts w:hint="eastAsia" w:ascii="宋体" w:hAnsi="宋体" w:eastAsia="宋体"/>
                <w:sz w:val="21"/>
                <w:szCs w:val="21"/>
                <w:lang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snapToGrid w:val="0"/>
              <w:spacing w:after="0" w:line="0" w:lineRule="atLeast"/>
              <w:ind w:left="180"/>
              <w:rPr>
                <w:rFonts w:ascii="宋体" w:hAnsi="宋体" w:eastAsia="宋体"/>
                <w:b/>
                <w:sz w:val="21"/>
                <w:szCs w:val="21"/>
                <w:lang w:eastAsia="zh-CN"/>
              </w:rPr>
            </w:pPr>
            <w:r>
              <w:rPr>
                <w:rFonts w:hint="eastAsia" w:ascii="宋体" w:hAnsi="宋体" w:eastAsia="宋体"/>
                <w:b/>
                <w:sz w:val="21"/>
                <w:szCs w:val="21"/>
                <w:lang w:eastAsia="zh-CN"/>
              </w:rPr>
              <w:t>大纲编写时间：201</w:t>
            </w:r>
            <w:r>
              <w:rPr>
                <w:rFonts w:ascii="宋体" w:hAnsi="宋体" w:eastAsia="宋体"/>
                <w:b/>
                <w:sz w:val="21"/>
                <w:szCs w:val="21"/>
                <w:lang w:eastAsia="zh-CN"/>
              </w:rPr>
              <w:t>9</w:t>
            </w:r>
            <w:r>
              <w:rPr>
                <w:rFonts w:hint="eastAsia" w:ascii="宋体" w:hAnsi="宋体" w:eastAsia="宋体"/>
                <w:b/>
                <w:sz w:val="21"/>
                <w:szCs w:val="21"/>
                <w:lang w:eastAsia="zh-CN"/>
              </w:rPr>
              <w:t>年9月</w:t>
            </w:r>
            <w:r>
              <w:rPr>
                <w:rFonts w:ascii="宋体" w:hAnsi="宋体" w:eastAsia="宋体"/>
                <w:b/>
                <w:sz w:val="21"/>
                <w:szCs w:val="21"/>
                <w:lang w:eastAsia="zh-CN"/>
              </w:rPr>
              <w:t>9</w:t>
            </w:r>
            <w:r>
              <w:rPr>
                <w:rFonts w:hint="eastAsia" w:ascii="宋体" w:hAnsi="宋体" w:eastAsia="宋体"/>
                <w:b/>
                <w:sz w:val="21"/>
                <w:szCs w:val="21"/>
                <w:lang w:eastAsia="zh-CN"/>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51" w:hRule="atLeast"/>
          <w:jc w:val="center"/>
        </w:trPr>
        <w:tc>
          <w:tcPr>
            <w:tcW w:w="9401" w:type="dxa"/>
            <w:gridSpan w:val="10"/>
          </w:tcPr>
          <w:p>
            <w:pPr>
              <w:tabs>
                <w:tab w:val="left" w:pos="1440"/>
              </w:tabs>
              <w:spacing w:after="0" w:line="0" w:lineRule="atLeast"/>
              <w:jc w:val="left"/>
              <w:outlineLvl w:val="0"/>
              <w:rPr>
                <w:rFonts w:ascii="宋体" w:hAnsi="宋体" w:eastAsia="宋体"/>
                <w:b/>
                <w:sz w:val="21"/>
                <w:szCs w:val="21"/>
                <w:lang w:eastAsia="zh-CN"/>
              </w:rPr>
            </w:pPr>
            <w:r>
              <w:rPr>
                <w:rFonts w:hint="eastAsia" w:ascii="宋体" w:hAnsi="宋体" w:eastAsia="宋体"/>
                <w:b/>
                <w:szCs w:val="21"/>
                <w:lang w:eastAsia="zh-CN"/>
              </w:rPr>
              <w:t>系（部）审查意见：</w:t>
            </w:r>
          </w:p>
          <w:p>
            <w:pPr>
              <w:spacing w:after="0" w:line="0" w:lineRule="atLeast"/>
              <w:ind w:firstLine="57" w:firstLineChars="27"/>
              <w:jc w:val="left"/>
              <w:rPr>
                <w:rFonts w:ascii="宋体" w:hAnsi="宋体" w:eastAsia="宋体"/>
                <w:b/>
                <w:sz w:val="21"/>
                <w:szCs w:val="21"/>
                <w:lang w:eastAsia="zh-CN"/>
              </w:rPr>
            </w:pPr>
          </w:p>
          <w:p>
            <w:pPr>
              <w:spacing w:after="0" w:line="0" w:lineRule="atLeast"/>
              <w:ind w:firstLine="56" w:firstLineChars="27"/>
              <w:jc w:val="left"/>
              <w:rPr>
                <w:rFonts w:ascii="宋体" w:hAnsi="宋体" w:eastAsia="宋体"/>
                <w:b/>
                <w:sz w:val="21"/>
                <w:szCs w:val="21"/>
                <w:lang w:eastAsia="zh-CN"/>
              </w:rPr>
            </w:pPr>
            <w:bookmarkStart w:id="0" w:name="_GoBack"/>
            <w:r>
              <w:rPr>
                <w:rFonts w:ascii="宋体" w:hAnsi="宋体" w:eastAsia="宋体"/>
                <w:sz w:val="21"/>
                <w:szCs w:val="21"/>
                <w:lang w:eastAsia="zh-CN"/>
              </w:rPr>
              <w:drawing>
                <wp:anchor distT="0" distB="0" distL="114300" distR="114300" simplePos="0" relativeHeight="251658240" behindDoc="0" locked="0" layoutInCell="1" allowOverlap="1">
                  <wp:simplePos x="0" y="0"/>
                  <wp:positionH relativeFrom="column">
                    <wp:posOffset>1329690</wp:posOffset>
                  </wp:positionH>
                  <wp:positionV relativeFrom="paragraph">
                    <wp:posOffset>139065</wp:posOffset>
                  </wp:positionV>
                  <wp:extent cx="1510665" cy="850900"/>
                  <wp:effectExtent l="0" t="0" r="13335" b="6350"/>
                  <wp:wrapSquare wrapText="bothSides"/>
                  <wp:docPr id="1" name="图片 1" descr="谢松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谢松霖"/>
                          <pic:cNvPicPr>
                            <a:picLocks noChangeAspect="1"/>
                          </pic:cNvPicPr>
                        </pic:nvPicPr>
                        <pic:blipFill>
                          <a:blip r:embed="rId5"/>
                          <a:stretch>
                            <a:fillRect/>
                          </a:stretch>
                        </pic:blipFill>
                        <pic:spPr>
                          <a:xfrm>
                            <a:off x="0" y="0"/>
                            <a:ext cx="1510665" cy="850900"/>
                          </a:xfrm>
                          <a:prstGeom prst="rect">
                            <a:avLst/>
                          </a:prstGeom>
                        </pic:spPr>
                      </pic:pic>
                    </a:graphicData>
                  </a:graphic>
                </wp:anchor>
              </w:drawing>
            </w:r>
            <w:bookmarkEnd w:id="0"/>
          </w:p>
          <w:p>
            <w:pPr>
              <w:spacing w:after="0" w:line="0" w:lineRule="atLeast"/>
              <w:ind w:firstLine="945" w:firstLineChars="450"/>
              <w:rPr>
                <w:rFonts w:ascii="宋体" w:hAnsi="宋体" w:eastAsia="宋体"/>
                <w:sz w:val="21"/>
                <w:szCs w:val="21"/>
                <w:lang w:eastAsia="zh-CN"/>
              </w:rPr>
            </w:pPr>
          </w:p>
          <w:p>
            <w:pPr>
              <w:spacing w:after="0" w:line="0" w:lineRule="atLeast"/>
              <w:rPr>
                <w:rFonts w:ascii="宋体" w:hAnsi="宋体" w:eastAsia="宋体"/>
                <w:sz w:val="21"/>
                <w:szCs w:val="21"/>
                <w:lang w:eastAsia="zh-CN"/>
              </w:rPr>
            </w:pPr>
          </w:p>
          <w:p>
            <w:pPr>
              <w:spacing w:after="0" w:line="0" w:lineRule="atLeast"/>
              <w:ind w:right="420"/>
              <w:rPr>
                <w:rFonts w:ascii="宋体" w:hAnsi="宋体" w:eastAsia="宋体"/>
                <w:sz w:val="21"/>
                <w:szCs w:val="21"/>
                <w:lang w:eastAsia="zh-CN"/>
              </w:rPr>
            </w:pPr>
          </w:p>
          <w:p>
            <w:pPr>
              <w:spacing w:after="0" w:line="0" w:lineRule="atLeast"/>
              <w:ind w:right="420"/>
              <w:jc w:val="right"/>
              <w:rPr>
                <w:rFonts w:ascii="宋体" w:hAnsi="宋体" w:eastAsia="宋体"/>
                <w:sz w:val="21"/>
                <w:szCs w:val="21"/>
                <w:lang w:eastAsia="zh-CN"/>
              </w:rPr>
            </w:pPr>
            <w:r>
              <w:rPr>
                <w:rFonts w:hint="eastAsia" w:ascii="宋体" w:hAnsi="宋体" w:eastAsia="宋体"/>
                <w:sz w:val="21"/>
                <w:szCs w:val="21"/>
                <w:lang w:eastAsia="zh-CN"/>
              </w:rPr>
              <w:t>系（部）主任签名：                         日期：      年    月    日</w:t>
            </w:r>
          </w:p>
          <w:p>
            <w:pPr>
              <w:snapToGrid w:val="0"/>
              <w:spacing w:after="0" w:line="0" w:lineRule="atLeast"/>
              <w:ind w:left="180"/>
              <w:rPr>
                <w:rFonts w:ascii="宋体" w:hAnsi="宋体" w:eastAsia="宋体"/>
                <w:sz w:val="21"/>
                <w:szCs w:val="21"/>
                <w:lang w:eastAsia="zh-CN"/>
              </w:rPr>
            </w:pPr>
          </w:p>
        </w:tc>
      </w:tr>
    </w:tbl>
    <w:p>
      <w:pPr>
        <w:spacing w:line="280" w:lineRule="exact"/>
        <w:ind w:left="738" w:hanging="738" w:hangingChars="350"/>
        <w:rPr>
          <w:rFonts w:ascii="宋体" w:hAnsi="宋体" w:eastAsia="宋体"/>
          <w:b/>
          <w:sz w:val="21"/>
          <w:szCs w:val="21"/>
          <w:lang w:eastAsia="zh-CN"/>
        </w:rPr>
      </w:pPr>
      <w:r>
        <w:rPr>
          <w:rFonts w:asciiTheme="minorEastAsia" w:hAnsiTheme="minorEastAsia" w:eastAsiaTheme="minorEastAsia"/>
          <w:b/>
          <w:bCs/>
          <w:sz w:val="21"/>
          <w:szCs w:val="21"/>
          <w:lang w:eastAsia="zh-CN"/>
        </w:rPr>
        <w:t>注：</w:t>
      </w:r>
      <w:r>
        <w:rPr>
          <w:rFonts w:hint="eastAsia" w:asciiTheme="minorEastAsia" w:hAnsiTheme="minorEastAsia" w:eastAsiaTheme="minorEastAsia"/>
          <w:b/>
          <w:bCs/>
          <w:sz w:val="21"/>
          <w:szCs w:val="21"/>
          <w:lang w:eastAsia="zh-CN"/>
        </w:rPr>
        <w:t>1、课程</w:t>
      </w:r>
      <w:r>
        <w:rPr>
          <w:rFonts w:hint="eastAsia" w:ascii="宋体" w:hAnsi="宋体" w:eastAsia="宋体"/>
          <w:b/>
          <w:sz w:val="21"/>
          <w:szCs w:val="21"/>
          <w:lang w:eastAsia="zh-CN"/>
        </w:rPr>
        <w:t>教学目标：请精炼概括3-5条目标，并注明每条目标所要求的学习目标层次（理解、运用、分析、综合和评价）。本课程教学目标须与授课对象的专业培养目标有一定的对应关系</w:t>
      </w:r>
    </w:p>
    <w:p>
      <w:pPr>
        <w:spacing w:line="280" w:lineRule="exact"/>
        <w:ind w:left="738" w:hanging="738" w:hangingChars="350"/>
        <w:rPr>
          <w:rFonts w:ascii="宋体" w:hAnsi="宋体" w:eastAsia="宋体"/>
          <w:b/>
          <w:sz w:val="21"/>
          <w:szCs w:val="21"/>
          <w:lang w:eastAsia="zh-CN"/>
        </w:rPr>
      </w:pPr>
      <w:r>
        <w:rPr>
          <w:rFonts w:hint="eastAsia" w:ascii="宋体" w:hAnsi="宋体" w:eastAsia="宋体"/>
          <w:b/>
          <w:sz w:val="21"/>
          <w:szCs w:val="21"/>
          <w:lang w:eastAsia="zh-CN"/>
        </w:rPr>
        <w:t xml:space="preserve">    2、学生核心能力即毕业要求或培养要求，请任课教师从授课对象人才培养方案中对应部分复制（</w:t>
      </w:r>
      <w:r>
        <w:rPr>
          <w:rFonts w:ascii="宋体" w:hAnsi="宋体" w:eastAsia="宋体"/>
          <w:b/>
          <w:sz w:val="21"/>
          <w:szCs w:val="21"/>
          <w:lang w:eastAsia="zh-CN"/>
        </w:rPr>
        <w:t>http://jwc.dgut.edu.cn/</w:t>
      </w:r>
      <w:r>
        <w:rPr>
          <w:rFonts w:hint="eastAsia" w:ascii="宋体" w:hAnsi="宋体" w:eastAsia="宋体"/>
          <w:b/>
          <w:sz w:val="21"/>
          <w:szCs w:val="21"/>
          <w:lang w:eastAsia="zh-CN"/>
        </w:rPr>
        <w:t>）</w:t>
      </w:r>
    </w:p>
    <w:p>
      <w:pPr>
        <w:spacing w:line="280" w:lineRule="exact"/>
        <w:ind w:left="738" w:hanging="738" w:hangingChars="350"/>
        <w:rPr>
          <w:rFonts w:ascii="宋体" w:hAnsi="宋体" w:eastAsia="宋体"/>
          <w:b/>
          <w:sz w:val="21"/>
          <w:szCs w:val="21"/>
          <w:lang w:eastAsia="zh-CN"/>
        </w:rPr>
      </w:pPr>
      <w:r>
        <w:rPr>
          <w:rFonts w:hint="eastAsia" w:ascii="宋体" w:hAnsi="宋体" w:eastAsia="宋体"/>
          <w:b/>
          <w:sz w:val="21"/>
          <w:szCs w:val="21"/>
          <w:lang w:eastAsia="zh-CN"/>
        </w:rPr>
        <w:t xml:space="preserve">    3、教学方式可选：课堂讲授/小组讨论/实验/实训</w:t>
      </w:r>
    </w:p>
    <w:p>
      <w:pPr>
        <w:spacing w:line="280" w:lineRule="exact"/>
        <w:rPr>
          <w:rFonts w:ascii="宋体" w:hAnsi="宋体" w:eastAsia="宋体"/>
          <w:b/>
          <w:sz w:val="21"/>
          <w:szCs w:val="21"/>
          <w:lang w:eastAsia="zh-CN"/>
        </w:rPr>
      </w:pPr>
      <w:r>
        <w:rPr>
          <w:rFonts w:hint="eastAsia" w:ascii="宋体" w:hAnsi="宋体" w:eastAsia="宋体"/>
          <w:b/>
          <w:sz w:val="21"/>
          <w:szCs w:val="21"/>
          <w:lang w:eastAsia="zh-CN"/>
        </w:rPr>
        <w:t xml:space="preserve">    4、若课程无理论教学环节或无实践教学环节，可将相应的教学进度表删掉。</w:t>
      </w:r>
    </w:p>
    <w:sectPr>
      <w:footerReference r:id="rId3" w:type="default"/>
      <w:pgSz w:w="11906" w:h="16838"/>
      <w:pgMar w:top="1440" w:right="1800" w:bottom="1440" w:left="1800"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Courier New">
    <w:panose1 w:val="02070309020205020404"/>
    <w:charset w:val="00"/>
    <w:family w:val="modern"/>
    <w:pitch w:val="default"/>
    <w:sig w:usb0="E0002EFF" w:usb1="C0007843" w:usb2="00000009" w:usb3="00000000" w:csb0="400001FF" w:csb1="FFFF0000"/>
  </w:font>
  <w:font w:name="DFKai-SB">
    <w:altName w:val="Microsoft JhengHei Light"/>
    <w:panose1 w:val="03000509000000000000"/>
    <w:charset w:val="88"/>
    <w:family w:val="script"/>
    <w:pitch w:val="default"/>
    <w:sig w:usb0="00000000" w:usb1="00000000" w:usb2="00000016" w:usb3="00000000" w:csb0="00100001" w:csb1="00000000"/>
  </w:font>
  <w:font w:name="CIDFont + F2">
    <w:altName w:val="Segoe Print"/>
    <w:panose1 w:val="00000000000000000000"/>
    <w:charset w:val="00"/>
    <w:family w:val="auto"/>
    <w:pitch w:val="default"/>
    <w:sig w:usb0="00000000" w:usb1="00000000" w:usb2="00000000" w:usb3="00000000" w:csb0="00000000" w:csb1="00000000"/>
  </w:font>
  <w:font w:name="方正书宋简体">
    <w:altName w:val="宋体"/>
    <w:panose1 w:val="00000000000000000000"/>
    <w:charset w:val="00"/>
    <w:family w:val="auto"/>
    <w:pitch w:val="default"/>
    <w:sig w:usb0="00000000" w:usb1="00000000" w:usb2="00000000" w:usb3="00000000" w:csb0="00000000" w:csb1="00000000"/>
  </w:font>
  <w:font w:name="PMingLiU-ExtB">
    <w:panose1 w:val="02020500000000000000"/>
    <w:charset w:val="88"/>
    <w:family w:val="auto"/>
    <w:pitch w:val="default"/>
    <w:sig w:usb0="8000002F" w:usb1="02000008" w:usb2="00000000" w:usb3="00000000" w:csb0="00100001" w:csb1="00000000"/>
  </w:font>
  <w:font w:name="Microsoft JhengHei Light">
    <w:panose1 w:val="020B0304030504040204"/>
    <w:charset w:val="88"/>
    <w:family w:val="auto"/>
    <w:pitch w:val="default"/>
    <w:sig w:usb0="800002A7" w:usb1="28CF4400" w:usb2="00000016" w:usb3="00000000" w:csb0="00100009"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1</w:t>
    </w:r>
    <w:r>
      <w:rPr>
        <w:rFonts w:hint="eastAsia" w:eastAsia="宋体"/>
        <w:lang w:eastAsia="zh-CN"/>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B0364A"/>
    <w:multiLevelType w:val="singleLevel"/>
    <w:tmpl w:val="59B0364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HorizontalSpacing w:val="120"/>
  <w:drawingGridVerticalSpacing w:val="163"/>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2"/>
  </w:compat>
  <w:rsids>
    <w:rsidRoot w:val="2C23799B"/>
    <w:rsid w:val="00001441"/>
    <w:rsid w:val="00004A6D"/>
    <w:rsid w:val="000073D0"/>
    <w:rsid w:val="0002523C"/>
    <w:rsid w:val="00033C7D"/>
    <w:rsid w:val="00036AF3"/>
    <w:rsid w:val="00041A32"/>
    <w:rsid w:val="000471C6"/>
    <w:rsid w:val="00047A12"/>
    <w:rsid w:val="000538AD"/>
    <w:rsid w:val="000576D6"/>
    <w:rsid w:val="00061F27"/>
    <w:rsid w:val="0006230F"/>
    <w:rsid w:val="00064267"/>
    <w:rsid w:val="0006698D"/>
    <w:rsid w:val="000679AD"/>
    <w:rsid w:val="00074651"/>
    <w:rsid w:val="0007472A"/>
    <w:rsid w:val="00077D10"/>
    <w:rsid w:val="00080AA4"/>
    <w:rsid w:val="00083621"/>
    <w:rsid w:val="00085E3A"/>
    <w:rsid w:val="00086C0E"/>
    <w:rsid w:val="00087B74"/>
    <w:rsid w:val="000908FE"/>
    <w:rsid w:val="00090FAC"/>
    <w:rsid w:val="000950D7"/>
    <w:rsid w:val="0009548B"/>
    <w:rsid w:val="000A17C0"/>
    <w:rsid w:val="000B2633"/>
    <w:rsid w:val="000B2E1A"/>
    <w:rsid w:val="000B5E39"/>
    <w:rsid w:val="000B626E"/>
    <w:rsid w:val="000C2407"/>
    <w:rsid w:val="000C2D4A"/>
    <w:rsid w:val="000D02F1"/>
    <w:rsid w:val="000E0AE8"/>
    <w:rsid w:val="000E52C1"/>
    <w:rsid w:val="000E704D"/>
    <w:rsid w:val="000F3C45"/>
    <w:rsid w:val="000F7F78"/>
    <w:rsid w:val="001058D0"/>
    <w:rsid w:val="00113514"/>
    <w:rsid w:val="0011603F"/>
    <w:rsid w:val="00122307"/>
    <w:rsid w:val="001258DD"/>
    <w:rsid w:val="00131556"/>
    <w:rsid w:val="0013693E"/>
    <w:rsid w:val="00141EC8"/>
    <w:rsid w:val="0014311A"/>
    <w:rsid w:val="00143F2A"/>
    <w:rsid w:val="001455E0"/>
    <w:rsid w:val="00150E03"/>
    <w:rsid w:val="00155E5A"/>
    <w:rsid w:val="0015626E"/>
    <w:rsid w:val="00171228"/>
    <w:rsid w:val="0017326E"/>
    <w:rsid w:val="00174D36"/>
    <w:rsid w:val="00187D39"/>
    <w:rsid w:val="001A54DD"/>
    <w:rsid w:val="001A5ECE"/>
    <w:rsid w:val="001B31E9"/>
    <w:rsid w:val="001B38A9"/>
    <w:rsid w:val="001B5634"/>
    <w:rsid w:val="001B7098"/>
    <w:rsid w:val="001C0173"/>
    <w:rsid w:val="001D28E8"/>
    <w:rsid w:val="001D4468"/>
    <w:rsid w:val="001E10E5"/>
    <w:rsid w:val="001E124D"/>
    <w:rsid w:val="001E3F30"/>
    <w:rsid w:val="001F20BC"/>
    <w:rsid w:val="001F3A94"/>
    <w:rsid w:val="001F4BCB"/>
    <w:rsid w:val="0020141D"/>
    <w:rsid w:val="00203FF0"/>
    <w:rsid w:val="0020474D"/>
    <w:rsid w:val="002111AE"/>
    <w:rsid w:val="00211AE2"/>
    <w:rsid w:val="0021290D"/>
    <w:rsid w:val="00225A30"/>
    <w:rsid w:val="00227119"/>
    <w:rsid w:val="002277AA"/>
    <w:rsid w:val="00232F54"/>
    <w:rsid w:val="0024107F"/>
    <w:rsid w:val="00241AA0"/>
    <w:rsid w:val="002428E4"/>
    <w:rsid w:val="00246566"/>
    <w:rsid w:val="00247F6F"/>
    <w:rsid w:val="00253630"/>
    <w:rsid w:val="002550A4"/>
    <w:rsid w:val="00262413"/>
    <w:rsid w:val="00263015"/>
    <w:rsid w:val="00267EE9"/>
    <w:rsid w:val="00286311"/>
    <w:rsid w:val="002869AE"/>
    <w:rsid w:val="00287BDD"/>
    <w:rsid w:val="00292A61"/>
    <w:rsid w:val="002B1530"/>
    <w:rsid w:val="002B18BC"/>
    <w:rsid w:val="002B1FF6"/>
    <w:rsid w:val="002B42EB"/>
    <w:rsid w:val="002C2305"/>
    <w:rsid w:val="002C23E9"/>
    <w:rsid w:val="002C3937"/>
    <w:rsid w:val="002C3D22"/>
    <w:rsid w:val="002C457A"/>
    <w:rsid w:val="002D1E80"/>
    <w:rsid w:val="002D49B7"/>
    <w:rsid w:val="002D5C18"/>
    <w:rsid w:val="002E27E1"/>
    <w:rsid w:val="002E2FDA"/>
    <w:rsid w:val="002E355D"/>
    <w:rsid w:val="002E77E8"/>
    <w:rsid w:val="002E7E11"/>
    <w:rsid w:val="002F1241"/>
    <w:rsid w:val="00302A6B"/>
    <w:rsid w:val="00302BCB"/>
    <w:rsid w:val="003044FA"/>
    <w:rsid w:val="00315032"/>
    <w:rsid w:val="003151DB"/>
    <w:rsid w:val="00315B63"/>
    <w:rsid w:val="00316504"/>
    <w:rsid w:val="003169B4"/>
    <w:rsid w:val="0034134F"/>
    <w:rsid w:val="00346429"/>
    <w:rsid w:val="003470D1"/>
    <w:rsid w:val="003549EF"/>
    <w:rsid w:val="003559C5"/>
    <w:rsid w:val="00364553"/>
    <w:rsid w:val="003652E2"/>
    <w:rsid w:val="00370BD8"/>
    <w:rsid w:val="00372F95"/>
    <w:rsid w:val="0037533B"/>
    <w:rsid w:val="0037561C"/>
    <w:rsid w:val="003961BA"/>
    <w:rsid w:val="00397372"/>
    <w:rsid w:val="003B2324"/>
    <w:rsid w:val="003B3491"/>
    <w:rsid w:val="003B546A"/>
    <w:rsid w:val="003B63AE"/>
    <w:rsid w:val="003B6829"/>
    <w:rsid w:val="003B7BF4"/>
    <w:rsid w:val="003C1476"/>
    <w:rsid w:val="003C2495"/>
    <w:rsid w:val="003C66D8"/>
    <w:rsid w:val="003C779F"/>
    <w:rsid w:val="003C7931"/>
    <w:rsid w:val="003D128D"/>
    <w:rsid w:val="003D3EF7"/>
    <w:rsid w:val="003D5DCC"/>
    <w:rsid w:val="003E03BD"/>
    <w:rsid w:val="003E211A"/>
    <w:rsid w:val="003E2F8B"/>
    <w:rsid w:val="003E66A6"/>
    <w:rsid w:val="003F27A3"/>
    <w:rsid w:val="003F2950"/>
    <w:rsid w:val="003F311E"/>
    <w:rsid w:val="003F33A4"/>
    <w:rsid w:val="0041076B"/>
    <w:rsid w:val="00412E32"/>
    <w:rsid w:val="00412E73"/>
    <w:rsid w:val="00413D10"/>
    <w:rsid w:val="004141BF"/>
    <w:rsid w:val="00414FC8"/>
    <w:rsid w:val="004172A2"/>
    <w:rsid w:val="0042340B"/>
    <w:rsid w:val="00430F9F"/>
    <w:rsid w:val="00431501"/>
    <w:rsid w:val="00431C14"/>
    <w:rsid w:val="00433F56"/>
    <w:rsid w:val="004433A5"/>
    <w:rsid w:val="00444896"/>
    <w:rsid w:val="00451125"/>
    <w:rsid w:val="004514AD"/>
    <w:rsid w:val="00452C2F"/>
    <w:rsid w:val="00456C4D"/>
    <w:rsid w:val="00457E42"/>
    <w:rsid w:val="004604B5"/>
    <w:rsid w:val="00466573"/>
    <w:rsid w:val="004700D6"/>
    <w:rsid w:val="004707B9"/>
    <w:rsid w:val="004719C4"/>
    <w:rsid w:val="00476241"/>
    <w:rsid w:val="00480B82"/>
    <w:rsid w:val="004854C9"/>
    <w:rsid w:val="004862F8"/>
    <w:rsid w:val="00491656"/>
    <w:rsid w:val="00495195"/>
    <w:rsid w:val="00496C3D"/>
    <w:rsid w:val="0049725C"/>
    <w:rsid w:val="004A4441"/>
    <w:rsid w:val="004A45FC"/>
    <w:rsid w:val="004A4DC0"/>
    <w:rsid w:val="004B0234"/>
    <w:rsid w:val="004B183C"/>
    <w:rsid w:val="004B3994"/>
    <w:rsid w:val="004B44B4"/>
    <w:rsid w:val="004B51A3"/>
    <w:rsid w:val="004B58C6"/>
    <w:rsid w:val="004B6B48"/>
    <w:rsid w:val="004C07F4"/>
    <w:rsid w:val="004C6A11"/>
    <w:rsid w:val="004C6A13"/>
    <w:rsid w:val="004E0481"/>
    <w:rsid w:val="004E2318"/>
    <w:rsid w:val="004E25B3"/>
    <w:rsid w:val="004E5A35"/>
    <w:rsid w:val="004E7804"/>
    <w:rsid w:val="004F1A21"/>
    <w:rsid w:val="004F2D5F"/>
    <w:rsid w:val="00500BB3"/>
    <w:rsid w:val="00501F01"/>
    <w:rsid w:val="00512AD4"/>
    <w:rsid w:val="0051401D"/>
    <w:rsid w:val="00515514"/>
    <w:rsid w:val="005170EB"/>
    <w:rsid w:val="00527B1E"/>
    <w:rsid w:val="00540738"/>
    <w:rsid w:val="00541C7A"/>
    <w:rsid w:val="005431D7"/>
    <w:rsid w:val="00544C9A"/>
    <w:rsid w:val="00544CE2"/>
    <w:rsid w:val="00545427"/>
    <w:rsid w:val="00556095"/>
    <w:rsid w:val="00557CE0"/>
    <w:rsid w:val="00562D6B"/>
    <w:rsid w:val="005639AB"/>
    <w:rsid w:val="00575FC9"/>
    <w:rsid w:val="00576B01"/>
    <w:rsid w:val="0058043D"/>
    <w:rsid w:val="0058586D"/>
    <w:rsid w:val="005911D3"/>
    <w:rsid w:val="005949E8"/>
    <w:rsid w:val="0059687A"/>
    <w:rsid w:val="005A5328"/>
    <w:rsid w:val="005B1A2E"/>
    <w:rsid w:val="005B392A"/>
    <w:rsid w:val="005B3C4D"/>
    <w:rsid w:val="005B66B2"/>
    <w:rsid w:val="005D2390"/>
    <w:rsid w:val="005D74D0"/>
    <w:rsid w:val="005E3216"/>
    <w:rsid w:val="005E38E4"/>
    <w:rsid w:val="005F174F"/>
    <w:rsid w:val="005F1CB1"/>
    <w:rsid w:val="005F3EFF"/>
    <w:rsid w:val="005F40F8"/>
    <w:rsid w:val="005F5CF0"/>
    <w:rsid w:val="006018E5"/>
    <w:rsid w:val="006038AD"/>
    <w:rsid w:val="00606621"/>
    <w:rsid w:val="00614E0A"/>
    <w:rsid w:val="006166B3"/>
    <w:rsid w:val="00617A69"/>
    <w:rsid w:val="006223FA"/>
    <w:rsid w:val="0062495C"/>
    <w:rsid w:val="0063410F"/>
    <w:rsid w:val="006341A0"/>
    <w:rsid w:val="006452E0"/>
    <w:rsid w:val="0065651C"/>
    <w:rsid w:val="00667ED8"/>
    <w:rsid w:val="00673BDC"/>
    <w:rsid w:val="00681FDA"/>
    <w:rsid w:val="00682F55"/>
    <w:rsid w:val="00683DFB"/>
    <w:rsid w:val="0068477B"/>
    <w:rsid w:val="006950BE"/>
    <w:rsid w:val="006962D1"/>
    <w:rsid w:val="006A2CAD"/>
    <w:rsid w:val="006A57B1"/>
    <w:rsid w:val="006B26E0"/>
    <w:rsid w:val="006B7981"/>
    <w:rsid w:val="006C7B2C"/>
    <w:rsid w:val="006D04D2"/>
    <w:rsid w:val="006D5DEB"/>
    <w:rsid w:val="006E5023"/>
    <w:rsid w:val="006F41B7"/>
    <w:rsid w:val="006F5D71"/>
    <w:rsid w:val="006F7260"/>
    <w:rsid w:val="00701C03"/>
    <w:rsid w:val="00701D56"/>
    <w:rsid w:val="007177E7"/>
    <w:rsid w:val="007255E0"/>
    <w:rsid w:val="00735FDE"/>
    <w:rsid w:val="0074269A"/>
    <w:rsid w:val="00744D9B"/>
    <w:rsid w:val="007507E6"/>
    <w:rsid w:val="0075313E"/>
    <w:rsid w:val="00753E71"/>
    <w:rsid w:val="00754A3C"/>
    <w:rsid w:val="00756B00"/>
    <w:rsid w:val="007635ED"/>
    <w:rsid w:val="00766ACB"/>
    <w:rsid w:val="00770F0D"/>
    <w:rsid w:val="00772D45"/>
    <w:rsid w:val="00773856"/>
    <w:rsid w:val="00776AF2"/>
    <w:rsid w:val="007807D1"/>
    <w:rsid w:val="00785779"/>
    <w:rsid w:val="0078654D"/>
    <w:rsid w:val="00787394"/>
    <w:rsid w:val="00790836"/>
    <w:rsid w:val="007918A7"/>
    <w:rsid w:val="007A154B"/>
    <w:rsid w:val="007A51C7"/>
    <w:rsid w:val="007A51D4"/>
    <w:rsid w:val="007A6CC5"/>
    <w:rsid w:val="007B0C9B"/>
    <w:rsid w:val="007C288B"/>
    <w:rsid w:val="007C2C15"/>
    <w:rsid w:val="007D185F"/>
    <w:rsid w:val="007E2089"/>
    <w:rsid w:val="007F4895"/>
    <w:rsid w:val="007F4F92"/>
    <w:rsid w:val="00805905"/>
    <w:rsid w:val="00806A41"/>
    <w:rsid w:val="0081362B"/>
    <w:rsid w:val="008147FF"/>
    <w:rsid w:val="00815F78"/>
    <w:rsid w:val="008160EE"/>
    <w:rsid w:val="00827AB2"/>
    <w:rsid w:val="00836ED8"/>
    <w:rsid w:val="00841DB4"/>
    <w:rsid w:val="0084553C"/>
    <w:rsid w:val="008466D4"/>
    <w:rsid w:val="00846B38"/>
    <w:rsid w:val="008512DF"/>
    <w:rsid w:val="00851445"/>
    <w:rsid w:val="00852A6D"/>
    <w:rsid w:val="00855020"/>
    <w:rsid w:val="008566E6"/>
    <w:rsid w:val="00861D3F"/>
    <w:rsid w:val="00863949"/>
    <w:rsid w:val="00863E5C"/>
    <w:rsid w:val="00871AF9"/>
    <w:rsid w:val="0088151F"/>
    <w:rsid w:val="00885E54"/>
    <w:rsid w:val="00885EED"/>
    <w:rsid w:val="008913DE"/>
    <w:rsid w:val="0089142B"/>
    <w:rsid w:val="00891436"/>
    <w:rsid w:val="00892ADC"/>
    <w:rsid w:val="00892D8A"/>
    <w:rsid w:val="0089553E"/>
    <w:rsid w:val="00896971"/>
    <w:rsid w:val="00897AFB"/>
    <w:rsid w:val="008A10B3"/>
    <w:rsid w:val="008A2CBB"/>
    <w:rsid w:val="008B49F5"/>
    <w:rsid w:val="008B5A74"/>
    <w:rsid w:val="008C4E46"/>
    <w:rsid w:val="008C68C3"/>
    <w:rsid w:val="008D274E"/>
    <w:rsid w:val="008E0172"/>
    <w:rsid w:val="008F2C25"/>
    <w:rsid w:val="008F3CE4"/>
    <w:rsid w:val="008F6642"/>
    <w:rsid w:val="00903FE9"/>
    <w:rsid w:val="00911A70"/>
    <w:rsid w:val="00916FD7"/>
    <w:rsid w:val="00917C66"/>
    <w:rsid w:val="00931310"/>
    <w:rsid w:val="00931FE8"/>
    <w:rsid w:val="009349EE"/>
    <w:rsid w:val="009407C1"/>
    <w:rsid w:val="00940933"/>
    <w:rsid w:val="009437A9"/>
    <w:rsid w:val="009460A6"/>
    <w:rsid w:val="009473B0"/>
    <w:rsid w:val="009537D7"/>
    <w:rsid w:val="009551D7"/>
    <w:rsid w:val="0095615C"/>
    <w:rsid w:val="009606F7"/>
    <w:rsid w:val="00963243"/>
    <w:rsid w:val="00965B5E"/>
    <w:rsid w:val="0096629C"/>
    <w:rsid w:val="00975AA6"/>
    <w:rsid w:val="009815F6"/>
    <w:rsid w:val="00986A80"/>
    <w:rsid w:val="00987948"/>
    <w:rsid w:val="00987F07"/>
    <w:rsid w:val="00991817"/>
    <w:rsid w:val="009927AB"/>
    <w:rsid w:val="00996864"/>
    <w:rsid w:val="009A1A8A"/>
    <w:rsid w:val="009A2B5C"/>
    <w:rsid w:val="009A4ABD"/>
    <w:rsid w:val="009A64FD"/>
    <w:rsid w:val="009B1339"/>
    <w:rsid w:val="009B3EAE"/>
    <w:rsid w:val="009B521B"/>
    <w:rsid w:val="009C024F"/>
    <w:rsid w:val="009C3354"/>
    <w:rsid w:val="009C4908"/>
    <w:rsid w:val="009C70C8"/>
    <w:rsid w:val="009C7FBA"/>
    <w:rsid w:val="009D1970"/>
    <w:rsid w:val="009D3079"/>
    <w:rsid w:val="009D7EF1"/>
    <w:rsid w:val="009F5988"/>
    <w:rsid w:val="00A056FA"/>
    <w:rsid w:val="00A20E6C"/>
    <w:rsid w:val="00A40B84"/>
    <w:rsid w:val="00A43159"/>
    <w:rsid w:val="00A4543C"/>
    <w:rsid w:val="00A50094"/>
    <w:rsid w:val="00A52C95"/>
    <w:rsid w:val="00A659A5"/>
    <w:rsid w:val="00A73A8F"/>
    <w:rsid w:val="00A75AE5"/>
    <w:rsid w:val="00A76833"/>
    <w:rsid w:val="00A81AB3"/>
    <w:rsid w:val="00A8235A"/>
    <w:rsid w:val="00A8450A"/>
    <w:rsid w:val="00A84D68"/>
    <w:rsid w:val="00A85774"/>
    <w:rsid w:val="00A92941"/>
    <w:rsid w:val="00A96B5C"/>
    <w:rsid w:val="00A97ED1"/>
    <w:rsid w:val="00AA199F"/>
    <w:rsid w:val="00AA2714"/>
    <w:rsid w:val="00AA7E3E"/>
    <w:rsid w:val="00AB00C2"/>
    <w:rsid w:val="00AC0B28"/>
    <w:rsid w:val="00AC4907"/>
    <w:rsid w:val="00AC6670"/>
    <w:rsid w:val="00AC7D62"/>
    <w:rsid w:val="00AD5B92"/>
    <w:rsid w:val="00AD5E60"/>
    <w:rsid w:val="00AE19E3"/>
    <w:rsid w:val="00AE1F85"/>
    <w:rsid w:val="00AE28D2"/>
    <w:rsid w:val="00AE48DD"/>
    <w:rsid w:val="00AE4B84"/>
    <w:rsid w:val="00AF0DC1"/>
    <w:rsid w:val="00B053EC"/>
    <w:rsid w:val="00B076F8"/>
    <w:rsid w:val="00B15929"/>
    <w:rsid w:val="00B1758F"/>
    <w:rsid w:val="00B1777C"/>
    <w:rsid w:val="00B20141"/>
    <w:rsid w:val="00B22829"/>
    <w:rsid w:val="00B2417F"/>
    <w:rsid w:val="00B2498F"/>
    <w:rsid w:val="00B27FDD"/>
    <w:rsid w:val="00B401EA"/>
    <w:rsid w:val="00B44BF9"/>
    <w:rsid w:val="00B47834"/>
    <w:rsid w:val="00B504DE"/>
    <w:rsid w:val="00B540B4"/>
    <w:rsid w:val="00B66E73"/>
    <w:rsid w:val="00B71C1B"/>
    <w:rsid w:val="00B737A8"/>
    <w:rsid w:val="00B91478"/>
    <w:rsid w:val="00BA022E"/>
    <w:rsid w:val="00BA0BA3"/>
    <w:rsid w:val="00BA1E68"/>
    <w:rsid w:val="00BB0CBF"/>
    <w:rsid w:val="00BB35F5"/>
    <w:rsid w:val="00BB3901"/>
    <w:rsid w:val="00BC0995"/>
    <w:rsid w:val="00BC65F4"/>
    <w:rsid w:val="00BD5161"/>
    <w:rsid w:val="00BD51C8"/>
    <w:rsid w:val="00BD5E19"/>
    <w:rsid w:val="00BE3A1B"/>
    <w:rsid w:val="00BE7E03"/>
    <w:rsid w:val="00BF0A2D"/>
    <w:rsid w:val="00BF5EDE"/>
    <w:rsid w:val="00C01EB5"/>
    <w:rsid w:val="00C03B4F"/>
    <w:rsid w:val="00C0636E"/>
    <w:rsid w:val="00C162AD"/>
    <w:rsid w:val="00C20099"/>
    <w:rsid w:val="00C311DA"/>
    <w:rsid w:val="00C351E9"/>
    <w:rsid w:val="00C36FE7"/>
    <w:rsid w:val="00C37AA4"/>
    <w:rsid w:val="00C40C9D"/>
    <w:rsid w:val="00C41D05"/>
    <w:rsid w:val="00C470AA"/>
    <w:rsid w:val="00C47E08"/>
    <w:rsid w:val="00C5088E"/>
    <w:rsid w:val="00C51D7C"/>
    <w:rsid w:val="00C550A5"/>
    <w:rsid w:val="00C573F5"/>
    <w:rsid w:val="00C65946"/>
    <w:rsid w:val="00C705DD"/>
    <w:rsid w:val="00C733E9"/>
    <w:rsid w:val="00C76FA2"/>
    <w:rsid w:val="00C85CD9"/>
    <w:rsid w:val="00C873EC"/>
    <w:rsid w:val="00CA1AB8"/>
    <w:rsid w:val="00CA5C42"/>
    <w:rsid w:val="00CB094C"/>
    <w:rsid w:val="00CC2C22"/>
    <w:rsid w:val="00CC4A46"/>
    <w:rsid w:val="00CC534C"/>
    <w:rsid w:val="00CD2F8F"/>
    <w:rsid w:val="00CE176C"/>
    <w:rsid w:val="00CE7FE3"/>
    <w:rsid w:val="00CF5424"/>
    <w:rsid w:val="00D00FCB"/>
    <w:rsid w:val="00D02ADB"/>
    <w:rsid w:val="00D05784"/>
    <w:rsid w:val="00D076AA"/>
    <w:rsid w:val="00D143EE"/>
    <w:rsid w:val="00D2200B"/>
    <w:rsid w:val="00D24C74"/>
    <w:rsid w:val="00D31971"/>
    <w:rsid w:val="00D3349D"/>
    <w:rsid w:val="00D33A8E"/>
    <w:rsid w:val="00D358AB"/>
    <w:rsid w:val="00D4167F"/>
    <w:rsid w:val="00D41C08"/>
    <w:rsid w:val="00D42B75"/>
    <w:rsid w:val="00D45151"/>
    <w:rsid w:val="00D45246"/>
    <w:rsid w:val="00D534C7"/>
    <w:rsid w:val="00D558EF"/>
    <w:rsid w:val="00D6062B"/>
    <w:rsid w:val="00D62B41"/>
    <w:rsid w:val="00D66978"/>
    <w:rsid w:val="00D80FF9"/>
    <w:rsid w:val="00D81B9E"/>
    <w:rsid w:val="00D848F5"/>
    <w:rsid w:val="00D945F5"/>
    <w:rsid w:val="00DA3AF0"/>
    <w:rsid w:val="00DA41C9"/>
    <w:rsid w:val="00DA5690"/>
    <w:rsid w:val="00DA5D2D"/>
    <w:rsid w:val="00DA73E4"/>
    <w:rsid w:val="00DB45CF"/>
    <w:rsid w:val="00DB5724"/>
    <w:rsid w:val="00DC0FC4"/>
    <w:rsid w:val="00DD072D"/>
    <w:rsid w:val="00DE777B"/>
    <w:rsid w:val="00DF24E8"/>
    <w:rsid w:val="00DF4B34"/>
    <w:rsid w:val="00DF566A"/>
    <w:rsid w:val="00DF5993"/>
    <w:rsid w:val="00DF5C03"/>
    <w:rsid w:val="00DF7AFF"/>
    <w:rsid w:val="00E0505F"/>
    <w:rsid w:val="00E10037"/>
    <w:rsid w:val="00E100A1"/>
    <w:rsid w:val="00E11832"/>
    <w:rsid w:val="00E1195A"/>
    <w:rsid w:val="00E12299"/>
    <w:rsid w:val="00E14DD3"/>
    <w:rsid w:val="00E24C2F"/>
    <w:rsid w:val="00E27D04"/>
    <w:rsid w:val="00E27F67"/>
    <w:rsid w:val="00E30CCE"/>
    <w:rsid w:val="00E33CCB"/>
    <w:rsid w:val="00E36E7C"/>
    <w:rsid w:val="00E376F7"/>
    <w:rsid w:val="00E413E8"/>
    <w:rsid w:val="00E4435B"/>
    <w:rsid w:val="00E479AA"/>
    <w:rsid w:val="00E50306"/>
    <w:rsid w:val="00E53E23"/>
    <w:rsid w:val="00E54B9C"/>
    <w:rsid w:val="00E55531"/>
    <w:rsid w:val="00E55AFD"/>
    <w:rsid w:val="00E56135"/>
    <w:rsid w:val="00E60C46"/>
    <w:rsid w:val="00E6343B"/>
    <w:rsid w:val="00E66B29"/>
    <w:rsid w:val="00E715EC"/>
    <w:rsid w:val="00E80264"/>
    <w:rsid w:val="00E84782"/>
    <w:rsid w:val="00E8522C"/>
    <w:rsid w:val="00E852A9"/>
    <w:rsid w:val="00E85F0D"/>
    <w:rsid w:val="00E86730"/>
    <w:rsid w:val="00E935AE"/>
    <w:rsid w:val="00E95197"/>
    <w:rsid w:val="00EA5046"/>
    <w:rsid w:val="00EA5CA7"/>
    <w:rsid w:val="00EA73DB"/>
    <w:rsid w:val="00EB4941"/>
    <w:rsid w:val="00EC2B32"/>
    <w:rsid w:val="00EC49DB"/>
    <w:rsid w:val="00EC5975"/>
    <w:rsid w:val="00EC64C5"/>
    <w:rsid w:val="00ED0700"/>
    <w:rsid w:val="00ED3FCA"/>
    <w:rsid w:val="00ED52D1"/>
    <w:rsid w:val="00ED636A"/>
    <w:rsid w:val="00EE3716"/>
    <w:rsid w:val="00EF064F"/>
    <w:rsid w:val="00EF312B"/>
    <w:rsid w:val="00EF4B17"/>
    <w:rsid w:val="00F16511"/>
    <w:rsid w:val="00F16914"/>
    <w:rsid w:val="00F24279"/>
    <w:rsid w:val="00F31667"/>
    <w:rsid w:val="00F50640"/>
    <w:rsid w:val="00F50C88"/>
    <w:rsid w:val="00F52A8A"/>
    <w:rsid w:val="00F53C74"/>
    <w:rsid w:val="00F55EDD"/>
    <w:rsid w:val="00F56F61"/>
    <w:rsid w:val="00F617C2"/>
    <w:rsid w:val="00F6455B"/>
    <w:rsid w:val="00F70B21"/>
    <w:rsid w:val="00F73FCD"/>
    <w:rsid w:val="00F83471"/>
    <w:rsid w:val="00F94E88"/>
    <w:rsid w:val="00F9559F"/>
    <w:rsid w:val="00F96D96"/>
    <w:rsid w:val="00FA4DD0"/>
    <w:rsid w:val="00FB0E5D"/>
    <w:rsid w:val="00FB40FF"/>
    <w:rsid w:val="00FB43FE"/>
    <w:rsid w:val="00FB68F9"/>
    <w:rsid w:val="00FC02B4"/>
    <w:rsid w:val="00FC27E0"/>
    <w:rsid w:val="00FC5E11"/>
    <w:rsid w:val="00FC7572"/>
    <w:rsid w:val="00FC7E68"/>
    <w:rsid w:val="00FD1062"/>
    <w:rsid w:val="00FD143D"/>
    <w:rsid w:val="00FE22C8"/>
    <w:rsid w:val="00FE48FF"/>
    <w:rsid w:val="00FF2988"/>
    <w:rsid w:val="00FF61AE"/>
    <w:rsid w:val="011505EA"/>
    <w:rsid w:val="248C7DF6"/>
    <w:rsid w:val="266C4C47"/>
    <w:rsid w:val="276533B8"/>
    <w:rsid w:val="28AD1D92"/>
    <w:rsid w:val="2C23799B"/>
    <w:rsid w:val="35FF7FE8"/>
    <w:rsid w:val="42C66CD5"/>
    <w:rsid w:val="498505BB"/>
    <w:rsid w:val="514264C3"/>
    <w:rsid w:val="62602D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semiHidden="0" w:name="Hyperlink"/>
    <w:lsdException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semiHidden="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line="360" w:lineRule="exact"/>
      <w:jc w:val="both"/>
    </w:pPr>
    <w:rPr>
      <w:rFonts w:ascii="Times New Roman" w:hAnsi="Times New Roman" w:eastAsia="PMingLiU" w:cs="Times New Roman"/>
      <w:sz w:val="24"/>
      <w:szCs w:val="22"/>
      <w:lang w:val="en-US" w:eastAsia="en-US" w:bidi="ar-SA"/>
    </w:rPr>
  </w:style>
  <w:style w:type="character" w:default="1" w:styleId="7">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6"/>
    <w:qFormat/>
    <w:uiPriority w:val="0"/>
    <w:pPr>
      <w:spacing w:after="0"/>
    </w:pPr>
    <w:rPr>
      <w:sz w:val="18"/>
      <w:szCs w:val="18"/>
    </w:rPr>
  </w:style>
  <w:style w:type="paragraph" w:styleId="3">
    <w:name w:val="footer"/>
    <w:basedOn w:val="1"/>
    <w:link w:val="14"/>
    <w:qFormat/>
    <w:uiPriority w:val="0"/>
    <w:pPr>
      <w:tabs>
        <w:tab w:val="center" w:pos="4153"/>
        <w:tab w:val="right" w:pos="8306"/>
      </w:tabs>
      <w:snapToGrid w:val="0"/>
      <w:jc w:val="left"/>
    </w:pPr>
    <w:rPr>
      <w:sz w:val="18"/>
      <w:szCs w:val="18"/>
    </w:rPr>
  </w:style>
  <w:style w:type="paragraph" w:styleId="4">
    <w:name w:val="header"/>
    <w:basedOn w:val="1"/>
    <w:link w:val="13"/>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8">
    <w:name w:val="FollowedHyperlink"/>
    <w:basedOn w:val="7"/>
    <w:unhideWhenUsed/>
    <w:uiPriority w:val="0"/>
    <w:rPr>
      <w:color w:val="000000"/>
      <w:u w:val="none"/>
    </w:rPr>
  </w:style>
  <w:style w:type="character" w:styleId="9">
    <w:name w:val="Hyperlink"/>
    <w:basedOn w:val="7"/>
    <w:unhideWhenUsed/>
    <w:uiPriority w:val="0"/>
    <w:rPr>
      <w:color w:val="0563C1" w:themeColor="hyperlink"/>
      <w:u w:val="single"/>
    </w:rPr>
  </w:style>
  <w:style w:type="character" w:styleId="10">
    <w:name w:val="HTML Code"/>
    <w:basedOn w:val="7"/>
    <w:unhideWhenUsed/>
    <w:uiPriority w:val="0"/>
    <w:rPr>
      <w:rFonts w:ascii="Courier New" w:hAnsi="Courier New"/>
      <w:sz w:val="20"/>
    </w:rPr>
  </w:style>
  <w:style w:type="paragraph" w:customStyle="1" w:styleId="11">
    <w:name w:val="列出段落1"/>
    <w:basedOn w:val="1"/>
    <w:qFormat/>
    <w:uiPriority w:val="34"/>
    <w:pPr>
      <w:widowControl w:val="0"/>
      <w:spacing w:after="0"/>
      <w:ind w:left="480" w:leftChars="200"/>
      <w:jc w:val="left"/>
    </w:pPr>
    <w:rPr>
      <w:rFonts w:ascii="Calibri" w:hAnsi="Calibri" w:eastAsia="DFKai-SB"/>
      <w:kern w:val="2"/>
      <w:lang w:eastAsia="zh-TW"/>
    </w:rPr>
  </w:style>
  <w:style w:type="character" w:customStyle="1" w:styleId="12">
    <w:name w:val="fontstyle01"/>
    <w:basedOn w:val="7"/>
    <w:qFormat/>
    <w:uiPriority w:val="0"/>
    <w:rPr>
      <w:rFonts w:ascii="CIDFont + F2" w:hAnsi="CIDFont + F2" w:eastAsia="CIDFont + F2" w:cs="CIDFont + F2"/>
      <w:color w:val="000000"/>
      <w:sz w:val="20"/>
      <w:szCs w:val="20"/>
    </w:rPr>
  </w:style>
  <w:style w:type="character" w:customStyle="1" w:styleId="13">
    <w:name w:val="页眉 Char"/>
    <w:basedOn w:val="7"/>
    <w:link w:val="4"/>
    <w:qFormat/>
    <w:uiPriority w:val="0"/>
    <w:rPr>
      <w:rFonts w:eastAsia="PMingLiU"/>
      <w:sz w:val="18"/>
      <w:szCs w:val="18"/>
      <w:lang w:eastAsia="en-US"/>
    </w:rPr>
  </w:style>
  <w:style w:type="character" w:customStyle="1" w:styleId="14">
    <w:name w:val="页脚 Char"/>
    <w:basedOn w:val="7"/>
    <w:link w:val="3"/>
    <w:qFormat/>
    <w:uiPriority w:val="0"/>
    <w:rPr>
      <w:rFonts w:eastAsia="PMingLiU"/>
      <w:sz w:val="18"/>
      <w:szCs w:val="18"/>
      <w:lang w:eastAsia="en-US"/>
    </w:rPr>
  </w:style>
  <w:style w:type="paragraph" w:customStyle="1" w:styleId="15">
    <w:name w:val="列出段落2"/>
    <w:basedOn w:val="1"/>
    <w:unhideWhenUsed/>
    <w:qFormat/>
    <w:uiPriority w:val="34"/>
    <w:pPr>
      <w:ind w:firstLine="420" w:firstLineChars="200"/>
    </w:pPr>
  </w:style>
  <w:style w:type="character" w:customStyle="1" w:styleId="16">
    <w:name w:val="批注框文本 Char"/>
    <w:basedOn w:val="7"/>
    <w:link w:val="2"/>
    <w:qFormat/>
    <w:uiPriority w:val="0"/>
    <w:rPr>
      <w:rFonts w:eastAsia="PMingLiU"/>
      <w:sz w:val="18"/>
      <w:szCs w:val="18"/>
      <w:lang w:eastAsia="en-US"/>
    </w:rPr>
  </w:style>
  <w:style w:type="paragraph" w:styleId="17">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F24C0EC-C0E4-4AAE-8108-62C948D73AB2}">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440</Words>
  <Characters>2510</Characters>
  <Lines>20</Lines>
  <Paragraphs>5</Paragraphs>
  <TotalTime>0</TotalTime>
  <ScaleCrop>false</ScaleCrop>
  <LinksUpToDate>false</LinksUpToDate>
  <CharactersWithSpaces>2945</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2019-09-10T06:45:00Z</dcterms:created>
  <dc:creator>lenovo</dc:creator>
  <cp:lastModifiedBy>落情湖</cp:lastModifiedBy>
  <cp:lastPrinted>2017-01-05T16:24:00Z</cp:lastPrinted>
  <dcterms:modified xsi:type="dcterms:W3CDTF">2019-09-27T03:31:03Z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