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 w:asciiTheme="minorEastAsia" w:hAnsiTheme="minorEastAsia" w:eastAsiaTheme="minorEastAsia"/>
          <w:b/>
          <w:sz w:val="32"/>
          <w:szCs w:val="32"/>
          <w:lang w:eastAsia="zh-CN"/>
        </w:rPr>
        <w:t>财务管理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Style w:val="6"/>
        <w:tblW w:w="94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409"/>
        <w:gridCol w:w="94"/>
        <w:gridCol w:w="565"/>
        <w:gridCol w:w="2501"/>
        <w:gridCol w:w="1822"/>
        <w:gridCol w:w="963"/>
        <w:gridCol w:w="100"/>
        <w:gridCol w:w="322"/>
        <w:gridCol w:w="104"/>
        <w:gridCol w:w="1063"/>
        <w:gridCol w:w="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10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财务管理</w:t>
            </w:r>
          </w:p>
        </w:tc>
        <w:tc>
          <w:tcPr>
            <w:tcW w:w="4394" w:type="dxa"/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专业必修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课程英文名称：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F</w:t>
            </w:r>
            <w:r>
              <w:rPr>
                <w:rFonts w:hint="eastAsia"/>
                <w:sz w:val="21"/>
                <w:szCs w:val="21"/>
                <w:lang w:eastAsia="zh-TW"/>
              </w:rPr>
              <w:t>inancial Management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10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  <w:r>
              <w:rPr>
                <w:rFonts w:hint="eastAsia"/>
                <w:sz w:val="21"/>
                <w:szCs w:val="21"/>
                <w:lang w:eastAsia="zh-TW"/>
              </w:rPr>
              <w:t>48/3/3</w:t>
            </w:r>
          </w:p>
        </w:tc>
        <w:tc>
          <w:tcPr>
            <w:tcW w:w="4394" w:type="dxa"/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  <w:r>
              <w:rPr>
                <w:rFonts w:hint="eastAsia"/>
                <w:sz w:val="21"/>
                <w:szCs w:val="21"/>
                <w:lang w:eastAsia="zh-TW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先修课程：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10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 xml:space="preserve">周一 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第1节至第3节</w:t>
            </w:r>
          </w:p>
        </w:tc>
        <w:tc>
          <w:tcPr>
            <w:tcW w:w="4394" w:type="dxa"/>
            <w:gridSpan w:val="7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  <w:r>
              <w:rPr>
                <w:rFonts w:hint="eastAsia"/>
                <w:sz w:val="21"/>
                <w:szCs w:val="21"/>
                <w:lang w:eastAsia="zh-TW"/>
              </w:rPr>
              <w:t>3209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hint="eastAsia"/>
                <w:sz w:val="21"/>
                <w:szCs w:val="21"/>
                <w:lang w:eastAsia="zh-CN"/>
              </w:rPr>
              <w:t>18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级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经济与金融系</w:t>
            </w:r>
            <w:r>
              <w:rPr>
                <w:rFonts w:hint="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谢依珊</w:t>
            </w: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周五 9:00~11:00</w:t>
            </w:r>
            <w:r>
              <w:rPr>
                <w:rFonts w:hint="eastAsia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实验楼</w:t>
            </w:r>
            <w:r>
              <w:rPr>
                <w:rFonts w:hint="eastAsia"/>
                <w:sz w:val="21"/>
                <w:szCs w:val="21"/>
                <w:lang w:eastAsia="zh-CN"/>
              </w:rPr>
              <w:t>204/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面授与讨论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sym w:font="Wingdings 2" w:char="F050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《财务管理学》，第2版，肖淑芳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、佟岩、刘宁悦主编，北京理工大学出版社</w:t>
            </w:r>
          </w:p>
          <w:p>
            <w:pPr>
              <w:tabs>
                <w:tab w:val="left" w:pos="1440"/>
              </w:tabs>
              <w:spacing w:after="0" w:line="360" w:lineRule="exact"/>
              <w:ind w:left="1581" w:hanging="1581" w:hangingChars="750"/>
              <w:outlineLvl w:val="0"/>
              <w:rPr>
                <w:rFonts w:eastAsia="宋体"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hint="eastAsia"/>
                <w:bCs/>
                <w:sz w:val="21"/>
                <w:szCs w:val="21"/>
                <w:lang w:eastAsia="zh-TW"/>
              </w:rPr>
              <w:t>1.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《Corporate Finance: Core Principles and Applications 》, 4th Edition, Stephen Ross, Randolph Westerfield, Jeffrey Jaffe and Bradford Jordan, McGraw-Hill Education.</w:t>
            </w:r>
          </w:p>
          <w:p>
            <w:pPr>
              <w:tabs>
                <w:tab w:val="left" w:pos="1440"/>
              </w:tabs>
              <w:spacing w:after="0" w:line="360" w:lineRule="exact"/>
              <w:ind w:left="3015" w:leftChars="600" w:hanging="1575" w:hangingChars="750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《财务管理》</w:t>
            </w:r>
            <w:r>
              <w:rPr>
                <w:rFonts w:eastAsia="宋体"/>
                <w:bCs/>
                <w:sz w:val="21"/>
                <w:szCs w:val="21"/>
                <w:lang w:eastAsia="zh-CN"/>
              </w:rPr>
              <w:t>,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第四版</w:t>
            </w:r>
            <w:r>
              <w:rPr>
                <w:rFonts w:eastAsia="宋体"/>
                <w:bCs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刘淑莲等主编</w:t>
            </w:r>
            <w:r>
              <w:rPr>
                <w:rFonts w:eastAsia="宋体"/>
                <w:bCs/>
                <w:sz w:val="21"/>
                <w:szCs w:val="21"/>
                <w:lang w:eastAsia="zh-CN"/>
              </w:rPr>
              <w:t xml:space="preserve">, </w:t>
            </w:r>
            <w:r>
              <w:rPr>
                <w:rFonts w:hint="eastAsia" w:eastAsia="宋体"/>
                <w:bCs/>
                <w:sz w:val="21"/>
                <w:szCs w:val="21"/>
                <w:lang w:eastAsia="zh-CN"/>
              </w:rPr>
              <w:t>东北财经大学出版社。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本课程将详论公司治理中的投资决策、融资决策、分配政策、短期营运资金管理等重要决策，包括</w:t>
            </w:r>
            <w:r>
              <w:rPr>
                <w:rFonts w:eastAsia="宋体"/>
                <w:sz w:val="21"/>
                <w:szCs w:val="21"/>
                <w:lang w:eastAsia="zh-CN"/>
              </w:rPr>
              <w:t>:(1)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解读企业财务报表与学习财务分析技巧(</w:t>
            </w:r>
            <w:r>
              <w:rPr>
                <w:rFonts w:hint="eastAsia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)通过资金时间价值的概念，了解金融资产的估价方式、预期报酬与风险的衡量；</w:t>
            </w:r>
            <w:r>
              <w:rPr>
                <w:rFonts w:eastAsia="宋体"/>
                <w:sz w:val="21"/>
                <w:szCs w:val="21"/>
                <w:lang w:eastAsia="zh-CN"/>
              </w:rPr>
              <w:t>(3)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了解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企业资本结构与股利发放决策，及其对股东财富最大化的作用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832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rFonts w:asciiTheme="minorEastAsia" w:hAnsiTheme="minorEastAsia"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充分掌握财务管理的目标、内容及分析方式，并运用在日常投资理财决策中。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培养同学具备创新精神和分析解决财务、金融与会计等问题的实践能力，未来能在企业、事业单位和行政部门从事财务、金融管理、会计、教学与科研等方面工作的人才。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培养学生具有主动参与、积极进取、探究财务管理的学习学习态度和思想意识。</w:t>
            </w:r>
          </w:p>
          <w:p>
            <w:pPr>
              <w:pStyle w:val="15"/>
              <w:numPr>
                <w:ilvl w:val="0"/>
                <w:numId w:val="1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养成理论联系实际、分析严谨、认真细致、实事求是的学习态度和职业道德。</w:t>
            </w:r>
          </w:p>
        </w:tc>
        <w:tc>
          <w:tcPr>
            <w:tcW w:w="2572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□核心能力8．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44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0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565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386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322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18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财务管理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总论</w:t>
            </w:r>
          </w:p>
        </w:tc>
        <w:tc>
          <w:tcPr>
            <w:tcW w:w="565" w:type="dxa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5386" w:type="dxa"/>
            <w:gridSpan w:val="4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重点：财务管理的内容、目标、代理问题及财务管理环境。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难点：企业委托人与代理人的关系图。</w:t>
            </w:r>
          </w:p>
          <w:p>
            <w:pPr>
              <w:spacing w:after="0" w:line="360" w:lineRule="exact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课程思政融入点：学习企业不只是追求经济利润，也要关注社会效益，增强社会责任感</w:t>
            </w:r>
          </w:p>
        </w:tc>
        <w:tc>
          <w:tcPr>
            <w:tcW w:w="426" w:type="dxa"/>
            <w:gridSpan w:val="2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课程思政作业:案例</w:t>
            </w:r>
            <w:r>
              <w:rPr>
                <w:rFonts w:hint="eastAsia"/>
                <w:sz w:val="21"/>
                <w:szCs w:val="21"/>
                <w:lang w:eastAsia="zh-CN"/>
              </w:rPr>
              <w:t>1-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雷士照明控制权之争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2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财务报表分析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(一)</w:t>
            </w:r>
          </w:p>
        </w:tc>
        <w:tc>
          <w:tcPr>
            <w:tcW w:w="565" w:type="dxa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5386" w:type="dxa"/>
            <w:gridSpan w:val="4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重点：财务报表信息与分析方法。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难点：财报信息的合理性判断。</w:t>
            </w:r>
          </w:p>
          <w:p>
            <w:pPr>
              <w:spacing w:after="0" w:line="360" w:lineRule="exact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课程思政融入点：学习以诚信编制财务报表，并以客观角度分析公司经营状况。</w:t>
            </w:r>
          </w:p>
        </w:tc>
        <w:tc>
          <w:tcPr>
            <w:tcW w:w="426" w:type="dxa"/>
            <w:gridSpan w:val="2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财务报表分析(二)、短期财务决策</w:t>
            </w:r>
          </w:p>
        </w:tc>
        <w:tc>
          <w:tcPr>
            <w:tcW w:w="565" w:type="dxa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2</w:t>
            </w:r>
          </w:p>
        </w:tc>
        <w:tc>
          <w:tcPr>
            <w:tcW w:w="5386" w:type="dxa"/>
            <w:gridSpan w:val="4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重点：财务比率分析、短期财务决策。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难点：财务比率的运用与解读、企业同产业比较、同企业跨期比较、了解营业周期与现金周期的概念，案例分析。</w:t>
            </w:r>
          </w:p>
          <w:p>
            <w:pPr>
              <w:spacing w:after="0" w:line="360" w:lineRule="exact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课程思政融入点：学习以客观的角度分析财报中的信息。</w:t>
            </w:r>
          </w:p>
        </w:tc>
        <w:tc>
          <w:tcPr>
            <w:tcW w:w="426" w:type="dxa"/>
            <w:gridSpan w:val="2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vAlign w:val="center"/>
          </w:tcPr>
          <w:p>
            <w:pPr>
              <w:spacing w:after="0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课程思政作业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:案例</w:t>
            </w:r>
            <w:r>
              <w:rPr>
                <w:rFonts w:hint="eastAsia"/>
                <w:sz w:val="21"/>
                <w:szCs w:val="21"/>
                <w:lang w:eastAsia="zh-CN"/>
              </w:rPr>
              <w:t>2-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戴尔存货管理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4</w:t>
            </w:r>
          </w:p>
        </w:tc>
        <w:tc>
          <w:tcPr>
            <w:tcW w:w="150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资金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时间价值</w:t>
            </w:r>
          </w:p>
        </w:tc>
        <w:tc>
          <w:tcPr>
            <w:tcW w:w="56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538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重点：资金时间价值、利率决定因素。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难点：理解现值与终值的概念，并厘清其差异。</w:t>
            </w:r>
          </w:p>
          <w:p>
            <w:pPr>
              <w:spacing w:after="0" w:line="360" w:lineRule="exact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课程思政融入点：通过为人处世教育，向学生揭示校园贷的本质与危害。</w:t>
            </w:r>
          </w:p>
        </w:tc>
        <w:tc>
          <w:tcPr>
            <w:tcW w:w="4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课程思政作业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:案例</w:t>
            </w:r>
            <w:r>
              <w:rPr>
                <w:rFonts w:hint="eastAsia"/>
                <w:sz w:val="21"/>
                <w:szCs w:val="21"/>
                <w:lang w:eastAsia="zh-CN"/>
              </w:rPr>
              <w:t>3-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四川长虹事件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6</w:t>
            </w:r>
          </w:p>
        </w:tc>
        <w:tc>
          <w:tcPr>
            <w:tcW w:w="150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证券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估值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（一）</w:t>
            </w:r>
          </w:p>
        </w:tc>
        <w:tc>
          <w:tcPr>
            <w:tcW w:w="56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538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重点：有效市场假说、利率概念、债券价值评估。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难点：债券价值与息票率、期限和收益率之间的关系。</w:t>
            </w:r>
          </w:p>
          <w:p>
            <w:pPr>
              <w:spacing w:after="0" w:line="360" w:lineRule="exact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课程思政融入点：金融专业人才从事股市分析的技术准备。</w:t>
            </w:r>
          </w:p>
        </w:tc>
        <w:tc>
          <w:tcPr>
            <w:tcW w:w="4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证券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估值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（二）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3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重点：股票价值评估。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难点：股权自由现金流量方法和公司自由现金流量方法。</w:t>
            </w:r>
          </w:p>
          <w:p>
            <w:pPr>
              <w:spacing w:after="0" w:line="360" w:lineRule="exact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课程思政融入点：金融专业人才从事股市分析的技术准备。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8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长期投资决策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重点：项目现金流量预测、投资项目评价准则与风险分析。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难点：净现值、内部收益率准则在互斥项目分析评价中的比较、投资项目的敏感性分析。</w:t>
            </w:r>
          </w:p>
          <w:p>
            <w:pPr>
              <w:spacing w:after="0" w:line="360" w:lineRule="exact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课程思政融入点：引导学生树立创新创业的思想、培养积极合作、互相配合的团队意识。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9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eastAsia="zh-TW"/>
              </w:rPr>
              <w:t>10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风险与收益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重点：历史收益与风险衡量、预期收益率与风险衡量、投资组合、资本资产定价模型。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难点：投资组合的有效边界与风险分散效应、资本市场线、资产定价多因素模型。</w:t>
            </w:r>
          </w:p>
          <w:p>
            <w:pPr>
              <w:spacing w:after="0" w:line="360" w:lineRule="exact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课程思政融入点：培养学生分散风险的概念。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11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长期筹资方式(一)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重点：长期筹资概述、权益性筹资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难点：股权再融资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课程思政融入点：金融专业人才从事数据分析的技术准备。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12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长期筹资方式(二)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重点：债务性筹资与混合型筹资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难点：债务性筹资与混合型筹资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课程思政融入点：金融专业人才从事数据分析的技术准备。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13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资金成本的估算(一)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1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重点：资金构成要素、资金成本估算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难点：留存收益成本的概念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课程思政融入点：金融专业人才从事数据分析的技术准备。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资金成本的估算(二)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重点：资金成本的影响因素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难点：资金成本与投资收益之间的关系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课程思政融入点：金融专业人才从事数据分析的技术准备。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资本结构与杠杆（一）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重点：MM理论、权衡理论、信息部对称理论、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难点：资本结构的内涵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课程思政融入点：金融专业人才从事数据分析的技术准备。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1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资本结构与杠杆（二）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重点：杠杆原理。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难点：经营杠杆与财务杠杆的内涵</w:t>
            </w:r>
          </w:p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课程思政融入点：金融专业人才从事数据分析的技术准备。</w:t>
            </w:r>
          </w:p>
        </w:tc>
        <w:tc>
          <w:tcPr>
            <w:tcW w:w="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课堂</w:t>
            </w:r>
            <w:r>
              <w:rPr>
                <w:rFonts w:eastAsia="宋体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340" w:hRule="atLeast"/>
          <w:jc w:val="center"/>
        </w:trPr>
        <w:tc>
          <w:tcPr>
            <w:tcW w:w="194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565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5386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6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50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565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432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06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509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案例</w:t>
            </w:r>
            <w:r>
              <w:rPr>
                <w:rFonts w:hint="eastAsia"/>
                <w:sz w:val="21"/>
                <w:szCs w:val="21"/>
                <w:lang w:eastAsia="zh-CN"/>
              </w:rPr>
              <w:t>1-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雷士照明控制权之争</w:t>
            </w:r>
          </w:p>
        </w:tc>
        <w:tc>
          <w:tcPr>
            <w:tcW w:w="565" w:type="dxa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4323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重点:了解控制权争纷的来龙去脉及控制权丧失的主因。</w:t>
            </w:r>
          </w:p>
          <w:p>
            <w:pPr>
              <w:spacing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难点:研究上市公司如何保持控制权</w:t>
            </w:r>
          </w:p>
          <w:p>
            <w:pPr>
              <w:spacing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06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09" w:type="dxa"/>
            <w:gridSpan w:val="4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提问与讲评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 w:val="21"/>
                <w:szCs w:val="21"/>
                <w:lang w:eastAsia="zh-CN"/>
              </w:rPr>
              <w:t>EXCEL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财务函数操作</w:t>
            </w:r>
            <w:r>
              <w:rPr>
                <w:rFonts w:hint="eastAsia" w:asciiTheme="minorEastAsia" w:hAnsiTheme="minorEastAsia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货币时间价值之应用</w:t>
            </w:r>
          </w:p>
        </w:tc>
        <w:tc>
          <w:tcPr>
            <w:tcW w:w="565" w:type="dxa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323" w:type="dxa"/>
            <w:gridSpan w:val="2"/>
          </w:tcPr>
          <w:p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重点：提出(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)贷款买房最佳的还款方式；(2)中头彩后最佳的领奖方式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(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)举债公司各期的还款现金流。</w:t>
            </w:r>
          </w:p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难点：利用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EXCEL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计算终值与现值。</w:t>
            </w:r>
          </w:p>
          <w:p>
            <w:pPr>
              <w:spacing w:after="0" w:line="360" w:lineRule="exac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063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09" w:type="dxa"/>
            <w:gridSpan w:val="4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机上操作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案例</w:t>
            </w:r>
            <w:r>
              <w:rPr>
                <w:rFonts w:hint="eastAsia"/>
                <w:sz w:val="21"/>
                <w:szCs w:val="21"/>
                <w:lang w:eastAsia="zh-CN"/>
              </w:rPr>
              <w:t>2-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戴尔存货管理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案例</w:t>
            </w:r>
            <w:r>
              <w:rPr>
                <w:rFonts w:hint="eastAsia"/>
                <w:sz w:val="21"/>
                <w:szCs w:val="21"/>
                <w:lang w:eastAsia="zh-CN"/>
              </w:rPr>
              <w:t>3-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四川长虹事件</w:t>
            </w:r>
          </w:p>
        </w:tc>
        <w:tc>
          <w:tcPr>
            <w:tcW w:w="565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23" w:type="dxa"/>
            <w:gridSpan w:val="2"/>
            <w:vAlign w:val="center"/>
          </w:tcPr>
          <w:p>
            <w:pPr>
              <w:spacing w:after="0" w:line="360" w:lineRule="exact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/>
                <w:sz w:val="21"/>
                <w:szCs w:val="21"/>
                <w:lang w:eastAsia="zh-CN"/>
              </w:rPr>
              <w:t>-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戴尔存货管理、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四川长虹事件</w:t>
            </w:r>
          </w:p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难点：存货管理的概念</w:t>
            </w:r>
          </w:p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课程思政融入点：</w:t>
            </w:r>
          </w:p>
        </w:tc>
        <w:tc>
          <w:tcPr>
            <w:tcW w:w="1063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09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提问与讲评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财报报表分析个人报告(一)</w:t>
            </w:r>
          </w:p>
        </w:tc>
        <w:tc>
          <w:tcPr>
            <w:tcW w:w="565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23" w:type="dxa"/>
            <w:gridSpan w:val="2"/>
            <w:vAlign w:val="center"/>
          </w:tcPr>
          <w:p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选定目标公司进行财务分析</w:t>
            </w:r>
          </w:p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难点：简洁扼要说明投资标的的现况并给与投资建议。</w:t>
            </w:r>
          </w:p>
          <w:p>
            <w:pPr>
              <w:spacing w:after="0" w:line="360" w:lineRule="exact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通过个人发表报告，学习自我表达能力，培养同学成为优秀金融分析师。</w:t>
            </w:r>
          </w:p>
        </w:tc>
        <w:tc>
          <w:tcPr>
            <w:tcW w:w="1063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09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提问与讲评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财报报表分析个人报告(二)</w:t>
            </w:r>
          </w:p>
        </w:tc>
        <w:tc>
          <w:tcPr>
            <w:tcW w:w="565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23" w:type="dxa"/>
            <w:gridSpan w:val="2"/>
            <w:vAlign w:val="center"/>
          </w:tcPr>
          <w:p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选定目标公司进行财务分析</w:t>
            </w:r>
          </w:p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难点：简洁扼要说明投资标的的现况并给与投资建议。</w:t>
            </w:r>
          </w:p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通过个人发表报告，学习自我表达能力，培养同学成为优秀金融分析师。</w:t>
            </w:r>
          </w:p>
        </w:tc>
        <w:tc>
          <w:tcPr>
            <w:tcW w:w="1063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09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提问与讲评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财报报表分析个人报告(三)</w:t>
            </w:r>
          </w:p>
        </w:tc>
        <w:tc>
          <w:tcPr>
            <w:tcW w:w="565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23" w:type="dxa"/>
            <w:gridSpan w:val="2"/>
            <w:vAlign w:val="center"/>
          </w:tcPr>
          <w:p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选定目标公司进行财务分析</w:t>
            </w:r>
          </w:p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难点：简洁扼要说明投资标的的现况并给与投资建议。</w:t>
            </w:r>
          </w:p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通过个人发表报告，学习自我表达能力，培养同学成为优秀金融分析师。</w:t>
            </w:r>
          </w:p>
        </w:tc>
        <w:tc>
          <w:tcPr>
            <w:tcW w:w="1063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09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提问与讲评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财报报表分析个人报告(四)</w:t>
            </w:r>
          </w:p>
        </w:tc>
        <w:tc>
          <w:tcPr>
            <w:tcW w:w="565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23" w:type="dxa"/>
            <w:gridSpan w:val="2"/>
            <w:vAlign w:val="center"/>
          </w:tcPr>
          <w:p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选定目标公司进行财务分析</w:t>
            </w:r>
          </w:p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难点：简洁扼要说明投资标的的现况并给与投资建议。</w:t>
            </w:r>
          </w:p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通过个人发表报告，学习自我表达能力，培养同学成为优秀金融分析师。</w:t>
            </w:r>
          </w:p>
        </w:tc>
        <w:tc>
          <w:tcPr>
            <w:tcW w:w="1063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09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提问与讲评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41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财报报表分析个人报告(五)</w:t>
            </w:r>
          </w:p>
        </w:tc>
        <w:tc>
          <w:tcPr>
            <w:tcW w:w="565" w:type="dxa"/>
            <w:vAlign w:val="center"/>
          </w:tcPr>
          <w:p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323" w:type="dxa"/>
            <w:gridSpan w:val="2"/>
            <w:vAlign w:val="center"/>
          </w:tcPr>
          <w:p>
            <w:pPr>
              <w:spacing w:after="0" w:line="360" w:lineRule="exact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选定目标公司进行财务分析</w:t>
            </w:r>
          </w:p>
          <w:p>
            <w:pPr>
              <w:spacing w:after="0" w:line="360" w:lineRule="exac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难点：简洁扼要说明投资标的的现况并给与投资建议。</w:t>
            </w:r>
          </w:p>
          <w:p>
            <w:pPr>
              <w:spacing w:after="0" w:line="360" w:lineRule="exac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通过个人发表报告，学习自我表达能力，培养同学成为优秀金融分析师。</w:t>
            </w:r>
          </w:p>
        </w:tc>
        <w:tc>
          <w:tcPr>
            <w:tcW w:w="1063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09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提问与讲评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44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565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16</w:t>
            </w:r>
          </w:p>
        </w:tc>
        <w:tc>
          <w:tcPr>
            <w:tcW w:w="4323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63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09" w:type="dxa"/>
            <w:gridSpan w:val="4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50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945" w:type="dxa"/>
            <w:gridSpan w:val="5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609" w:type="dxa"/>
            <w:gridSpan w:val="5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50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cs="Arial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945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/>
              <w:jc w:val="both"/>
              <w:rPr>
                <w:rFonts w:cs="Arial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不迟到、不早退、不旷课、不滑手机、不饮食</w:t>
            </w:r>
          </w:p>
        </w:tc>
        <w:tc>
          <w:tcPr>
            <w:tcW w:w="1609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/>
              <w:ind w:left="187"/>
              <w:jc w:val="center"/>
              <w:rPr>
                <w:rFonts w:cs="Arial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bCs/>
                <w:kern w:val="2"/>
                <w:sz w:val="21"/>
                <w:szCs w:val="21"/>
              </w:rPr>
              <w:t>10</w:t>
            </w:r>
            <w:r>
              <w:rPr>
                <w:rFonts w:hint="eastAsia" w:cs="Arial" w:asciiTheme="minorEastAsia" w:hAnsiTheme="minorEastAsia" w:eastAsiaTheme="minorEastAsia"/>
                <w:bCs/>
                <w:kern w:val="2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50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cs="Arial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课</w:t>
            </w:r>
            <w:r>
              <w:rPr>
                <w:rFonts w:hint="eastAsia" w:cs="Arial" w:asciiTheme="minorEastAsia" w:hAnsiTheme="minorEastAsia" w:eastAsiaTheme="minorEastAsia"/>
                <w:bCs/>
                <w:kern w:val="2"/>
                <w:sz w:val="21"/>
                <w:szCs w:val="21"/>
              </w:rPr>
              <w:t>堂讨论</w:t>
            </w:r>
          </w:p>
        </w:tc>
        <w:tc>
          <w:tcPr>
            <w:tcW w:w="5945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/>
              <w:jc w:val="both"/>
              <w:rPr>
                <w:rFonts w:cs="Arial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eastAsia="zh-CN"/>
              </w:rPr>
              <w:t>案例讨论与分析、演练题</w:t>
            </w:r>
          </w:p>
        </w:tc>
        <w:tc>
          <w:tcPr>
            <w:tcW w:w="1609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/>
              <w:ind w:left="187"/>
              <w:jc w:val="center"/>
              <w:rPr>
                <w:rFonts w:cs="Arial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</w:rPr>
              <w:t>10</w:t>
            </w:r>
            <w:r>
              <w:rPr>
                <w:rFonts w:hint="eastAsia" w:cs="Arial" w:asciiTheme="minorEastAsia" w:hAnsiTheme="minorEastAsia" w:eastAsiaTheme="minorEastAsia"/>
                <w:kern w:val="2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50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cs="Arial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课堂</w:t>
            </w:r>
            <w:r>
              <w:rPr>
                <w:rFonts w:hint="eastAsia" w:cs="Arial" w:asciiTheme="minorEastAsia" w:hAnsiTheme="minorEastAsia" w:eastAsiaTheme="minorEastAsia"/>
                <w:bCs/>
                <w:kern w:val="2"/>
                <w:sz w:val="21"/>
                <w:szCs w:val="21"/>
              </w:rPr>
              <w:t>报告</w:t>
            </w:r>
          </w:p>
        </w:tc>
        <w:tc>
          <w:tcPr>
            <w:tcW w:w="5945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/>
              <w:jc w:val="both"/>
              <w:rPr>
                <w:rFonts w:cs="Arial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kern w:val="2"/>
                <w:sz w:val="21"/>
                <w:szCs w:val="21"/>
                <w:lang w:eastAsia="zh-CN"/>
              </w:rPr>
              <w:t>个人报告：财务报表分析</w:t>
            </w:r>
          </w:p>
        </w:tc>
        <w:tc>
          <w:tcPr>
            <w:tcW w:w="1609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/>
              <w:ind w:left="187"/>
              <w:jc w:val="center"/>
              <w:rPr>
                <w:rFonts w:cs="Arial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</w:rPr>
              <w:t>20</w:t>
            </w:r>
            <w:r>
              <w:rPr>
                <w:rFonts w:hint="eastAsia" w:cs="Arial" w:asciiTheme="minorEastAsia" w:hAnsiTheme="minorEastAsia" w:eastAsiaTheme="minorEastAsia"/>
                <w:kern w:val="2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50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cs="Arial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945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cs="Arial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kern w:val="2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609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/>
              <w:ind w:left="187"/>
              <w:jc w:val="center"/>
              <w:rPr>
                <w:rFonts w:cs="Arial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kern w:val="2"/>
                <w:sz w:val="21"/>
                <w:szCs w:val="21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50" w:type="dxa"/>
            <w:gridSpan w:val="2"/>
            <w:vAlign w:val="center"/>
          </w:tcPr>
          <w:p>
            <w:pPr>
              <w:pStyle w:val="5"/>
              <w:spacing w:before="0" w:beforeAutospacing="0" w:after="0" w:afterAutospacing="0"/>
              <w:jc w:val="center"/>
              <w:rPr>
                <w:rFonts w:cs="Arial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bCs/>
                <w:kern w:val="2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945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/>
              <w:rPr>
                <w:rFonts w:cs="Arial"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cs="Arial" w:asciiTheme="minorEastAsia" w:hAnsiTheme="minorEastAsia" w:eastAsiaTheme="minorEastAsia"/>
                <w:kern w:val="2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609" w:type="dxa"/>
            <w:gridSpan w:val="5"/>
            <w:vAlign w:val="center"/>
          </w:tcPr>
          <w:p>
            <w:pPr>
              <w:pStyle w:val="5"/>
              <w:spacing w:before="0" w:beforeAutospacing="0" w:after="0" w:afterAutospacing="0"/>
              <w:ind w:left="187"/>
              <w:jc w:val="center"/>
              <w:rPr>
                <w:rFonts w:cs="Arial"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cs="Arial" w:asciiTheme="minorEastAsia" w:hAnsiTheme="minorEastAsia" w:eastAsiaTheme="minorEastAsia"/>
                <w:kern w:val="2"/>
                <w:sz w:val="21"/>
                <w:szCs w:val="21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4" w:type="dxa"/>
            <w:gridSpan w:val="12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hint="eastAsia"/>
                <w:b/>
                <w:sz w:val="21"/>
                <w:szCs w:val="21"/>
                <w:lang w:eastAsia="zh-TW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/>
                <w:b/>
                <w:sz w:val="21"/>
                <w:szCs w:val="21"/>
                <w:lang w:eastAsia="zh-TW"/>
              </w:rPr>
              <w:t>2019.09.09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4" w:type="dxa"/>
            <w:gridSpan w:val="12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2152015</wp:posOffset>
                  </wp:positionH>
                  <wp:positionV relativeFrom="paragraph">
                    <wp:posOffset>167640</wp:posOffset>
                  </wp:positionV>
                  <wp:extent cx="1635125" cy="920750"/>
                  <wp:effectExtent l="0" t="0" r="3175" b="12700"/>
                  <wp:wrapNone/>
                  <wp:docPr id="1" name="图片 1" descr="谢松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谢松霖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125" cy="92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標楷體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E44E3"/>
    <w:multiLevelType w:val="multilevel"/>
    <w:tmpl w:val="676E44E3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1380" w:hanging="480"/>
      </w:pPr>
    </w:lvl>
    <w:lvl w:ilvl="2" w:tentative="0">
      <w:start w:val="1"/>
      <w:numFmt w:val="lowerRoman"/>
      <w:lvlText w:val="%3."/>
      <w:lvlJc w:val="right"/>
      <w:pPr>
        <w:ind w:left="1860" w:hanging="480"/>
      </w:pPr>
    </w:lvl>
    <w:lvl w:ilvl="3" w:tentative="0">
      <w:start w:val="1"/>
      <w:numFmt w:val="decimal"/>
      <w:lvlText w:val="%4."/>
      <w:lvlJc w:val="left"/>
      <w:pPr>
        <w:ind w:left="2340" w:hanging="480"/>
      </w:pPr>
    </w:lvl>
    <w:lvl w:ilvl="4" w:tentative="0">
      <w:start w:val="1"/>
      <w:numFmt w:val="ideographTraditional"/>
      <w:lvlText w:val="%5、"/>
      <w:lvlJc w:val="left"/>
      <w:pPr>
        <w:ind w:left="2820" w:hanging="480"/>
      </w:pPr>
    </w:lvl>
    <w:lvl w:ilvl="5" w:tentative="0">
      <w:start w:val="1"/>
      <w:numFmt w:val="lowerRoman"/>
      <w:lvlText w:val="%6."/>
      <w:lvlJc w:val="right"/>
      <w:pPr>
        <w:ind w:left="3300" w:hanging="480"/>
      </w:pPr>
    </w:lvl>
    <w:lvl w:ilvl="6" w:tentative="0">
      <w:start w:val="1"/>
      <w:numFmt w:val="decimal"/>
      <w:lvlText w:val="%7."/>
      <w:lvlJc w:val="left"/>
      <w:pPr>
        <w:ind w:left="3780" w:hanging="480"/>
      </w:pPr>
    </w:lvl>
    <w:lvl w:ilvl="7" w:tentative="0">
      <w:start w:val="1"/>
      <w:numFmt w:val="ideographTraditional"/>
      <w:lvlText w:val="%8、"/>
      <w:lvlJc w:val="left"/>
      <w:pPr>
        <w:ind w:left="4260" w:hanging="480"/>
      </w:pPr>
    </w:lvl>
    <w:lvl w:ilvl="8" w:tentative="0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2C23799B"/>
    <w:rsid w:val="00001AFD"/>
    <w:rsid w:val="000041EE"/>
    <w:rsid w:val="000132DF"/>
    <w:rsid w:val="00057CB9"/>
    <w:rsid w:val="00061F27"/>
    <w:rsid w:val="0006625D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B126D"/>
    <w:rsid w:val="001B31E9"/>
    <w:rsid w:val="001C7527"/>
    <w:rsid w:val="001D28E8"/>
    <w:rsid w:val="001E1214"/>
    <w:rsid w:val="001F20BC"/>
    <w:rsid w:val="002111AE"/>
    <w:rsid w:val="00220BD8"/>
    <w:rsid w:val="00227119"/>
    <w:rsid w:val="00234B09"/>
    <w:rsid w:val="00295970"/>
    <w:rsid w:val="002C0D8F"/>
    <w:rsid w:val="002E27E1"/>
    <w:rsid w:val="003044FA"/>
    <w:rsid w:val="003362E2"/>
    <w:rsid w:val="003403E2"/>
    <w:rsid w:val="00352B7D"/>
    <w:rsid w:val="0037561C"/>
    <w:rsid w:val="003C03BB"/>
    <w:rsid w:val="003C66D8"/>
    <w:rsid w:val="003E2BAB"/>
    <w:rsid w:val="003E45C9"/>
    <w:rsid w:val="003E66A6"/>
    <w:rsid w:val="004124E2"/>
    <w:rsid w:val="00414FC8"/>
    <w:rsid w:val="00457E42"/>
    <w:rsid w:val="004A0195"/>
    <w:rsid w:val="004B3994"/>
    <w:rsid w:val="004B7C67"/>
    <w:rsid w:val="004C07A2"/>
    <w:rsid w:val="004D29DE"/>
    <w:rsid w:val="004D4C83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D53F3"/>
    <w:rsid w:val="00812676"/>
    <w:rsid w:val="008147FF"/>
    <w:rsid w:val="00815F78"/>
    <w:rsid w:val="00825F98"/>
    <w:rsid w:val="00837BA5"/>
    <w:rsid w:val="008512DF"/>
    <w:rsid w:val="00855020"/>
    <w:rsid w:val="0088296A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A3C95"/>
    <w:rsid w:val="00BA4A97"/>
    <w:rsid w:val="00BB35F5"/>
    <w:rsid w:val="00C06D81"/>
    <w:rsid w:val="00C37EB8"/>
    <w:rsid w:val="00C41D05"/>
    <w:rsid w:val="00C479CB"/>
    <w:rsid w:val="00C705DD"/>
    <w:rsid w:val="00C76FA2"/>
    <w:rsid w:val="00CA1AB8"/>
    <w:rsid w:val="00CC4A46"/>
    <w:rsid w:val="00CC7067"/>
    <w:rsid w:val="00CD2F8F"/>
    <w:rsid w:val="00D1309A"/>
    <w:rsid w:val="00D268B2"/>
    <w:rsid w:val="00D40F3E"/>
    <w:rsid w:val="00D45246"/>
    <w:rsid w:val="00D62B41"/>
    <w:rsid w:val="00DA6E7C"/>
    <w:rsid w:val="00DB45CF"/>
    <w:rsid w:val="00DB5724"/>
    <w:rsid w:val="00DF5733"/>
    <w:rsid w:val="00DF5C03"/>
    <w:rsid w:val="00E00AC0"/>
    <w:rsid w:val="00E0505F"/>
    <w:rsid w:val="00E27C07"/>
    <w:rsid w:val="00E31D91"/>
    <w:rsid w:val="00E413E8"/>
    <w:rsid w:val="00E53E23"/>
    <w:rsid w:val="00E7089B"/>
    <w:rsid w:val="00EA4A7E"/>
    <w:rsid w:val="00EC2295"/>
    <w:rsid w:val="00ED3FCA"/>
    <w:rsid w:val="00F31667"/>
    <w:rsid w:val="00F617C2"/>
    <w:rsid w:val="00F641FD"/>
    <w:rsid w:val="00F96D96"/>
    <w:rsid w:val="00FA0724"/>
    <w:rsid w:val="00FD65B3"/>
    <w:rsid w:val="00FE22C8"/>
    <w:rsid w:val="00FF0E36"/>
    <w:rsid w:val="28AD1D92"/>
    <w:rsid w:val="2C23799B"/>
    <w:rsid w:val="489544D1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/>
      <w:jc w:val="left"/>
    </w:pPr>
    <w:rPr>
      <w:rFonts w:ascii="PMingLiU" w:hAnsi="PMingLiU" w:cs="PMingLiU"/>
      <w:szCs w:val="24"/>
      <w:lang w:eastAsia="zh-TW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uiPriority w:val="0"/>
    <w:rPr>
      <w:color w:val="0563C1" w:themeColor="hyperlink"/>
      <w:u w:val="single"/>
    </w:rPr>
  </w:style>
  <w:style w:type="paragraph" w:customStyle="1" w:styleId="11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標楷體"/>
      <w:kern w:val="2"/>
      <w:lang w:eastAsia="zh-TW"/>
    </w:rPr>
  </w:style>
  <w:style w:type="character" w:customStyle="1" w:styleId="12">
    <w:name w:val="fontstyle01"/>
    <w:basedOn w:val="8"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3">
    <w:name w:val="頁首 字元"/>
    <w:basedOn w:val="8"/>
    <w:link w:val="4"/>
    <w:uiPriority w:val="0"/>
    <w:rPr>
      <w:rFonts w:eastAsia="PMingLiU"/>
      <w:sz w:val="18"/>
      <w:szCs w:val="18"/>
      <w:lang w:eastAsia="en-US"/>
    </w:rPr>
  </w:style>
  <w:style w:type="character" w:customStyle="1" w:styleId="14">
    <w:name w:val="頁尾 字元"/>
    <w:basedOn w:val="8"/>
    <w:link w:val="3"/>
    <w:uiPriority w:val="0"/>
    <w:rPr>
      <w:rFonts w:eastAsia="PMingLiU"/>
      <w:sz w:val="18"/>
      <w:szCs w:val="18"/>
      <w:lang w:eastAsia="en-US"/>
    </w:rPr>
  </w:style>
  <w:style w:type="paragraph" w:styleId="15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6">
    <w:name w:val="註解方塊文字 字元"/>
    <w:basedOn w:val="8"/>
    <w:link w:val="2"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5C9961-A251-42F9-9E5B-9A034F320F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522</Words>
  <Characters>2979</Characters>
  <Lines>24</Lines>
  <Paragraphs>6</Paragraphs>
  <TotalTime>1288</TotalTime>
  <ScaleCrop>false</ScaleCrop>
  <LinksUpToDate>false</LinksUpToDate>
  <CharactersWithSpaces>3495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2017-09-01T07:23:00Z</dcterms:created>
  <dc:creator>lenovo</dc:creator>
  <cp:lastModifiedBy>落情湖</cp:lastModifiedBy>
  <cp:lastPrinted>2017-01-05T16:24:00Z</cp:lastPrinted>
  <dcterms:modified xsi:type="dcterms:W3CDTF">2019-09-27T03:07:13Z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