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>
        <w:rPr>
          <w:b/>
          <w:sz w:val="32"/>
          <w:szCs w:val="32"/>
          <w:lang w:eastAsia="zh-CN"/>
        </w:rPr>
        <w:t>《</w:t>
      </w:r>
      <w:r>
        <w:rPr>
          <w:rFonts w:hint="eastAsia" w:eastAsiaTheme="minorEastAsia"/>
          <w:b/>
          <w:sz w:val="32"/>
          <w:szCs w:val="32"/>
          <w:lang w:eastAsia="zh-CN"/>
        </w:rPr>
        <w:t>会计学原理</w:t>
      </w:r>
      <w:r>
        <w:rPr>
          <w:b/>
          <w:sz w:val="32"/>
          <w:szCs w:val="32"/>
          <w:lang w:eastAsia="zh-CN"/>
        </w:rPr>
        <w:t>》教学大纲</w:t>
      </w:r>
    </w:p>
    <w:tbl>
      <w:tblPr>
        <w:tblStyle w:val="5"/>
        <w:tblW w:w="940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1"/>
        <w:gridCol w:w="1345"/>
        <w:gridCol w:w="364"/>
        <w:gridCol w:w="620"/>
        <w:gridCol w:w="1638"/>
        <w:gridCol w:w="1679"/>
        <w:gridCol w:w="700"/>
        <w:gridCol w:w="743"/>
        <w:gridCol w:w="241"/>
        <w:gridCol w:w="13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708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课程名称：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会计学原理</w:t>
            </w:r>
          </w:p>
        </w:tc>
        <w:tc>
          <w:tcPr>
            <w:tcW w:w="4693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课程类别（必修/选修）：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必修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课程英文名称：</w:t>
            </w:r>
            <w:r>
              <w:rPr>
                <w:rFonts w:ascii="宋体" w:hAnsi="宋体"/>
                <w:color w:val="000000"/>
                <w:szCs w:val="24"/>
                <w:shd w:val="clear" w:color="auto" w:fill="FFFFFF"/>
              </w:rPr>
              <w:t>Accounting</w:t>
            </w:r>
            <w:r>
              <w:rPr>
                <w:rFonts w:hint="eastAsia" w:ascii="宋体" w:hAnsi="宋体" w:eastAsiaTheme="minorEastAsia"/>
                <w:color w:val="000000"/>
                <w:szCs w:val="24"/>
                <w:shd w:val="clear" w:color="auto" w:fill="FFFFFF"/>
                <w:lang w:eastAsia="zh-CN"/>
              </w:rPr>
              <w:t xml:space="preserve">   </w:t>
            </w:r>
            <w:r>
              <w:rPr>
                <w:rFonts w:ascii="宋体" w:hAnsi="宋体"/>
                <w:color w:val="000000"/>
                <w:szCs w:val="24"/>
                <w:shd w:val="clear" w:color="auto" w:fill="FFFFFF"/>
              </w:rPr>
              <w:t xml:space="preserve"> Principles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708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总学时/周学时/学分：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48/3/3</w:t>
            </w:r>
          </w:p>
        </w:tc>
        <w:tc>
          <w:tcPr>
            <w:tcW w:w="4693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其中实验/实践学时：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先修课程：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经济学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708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授课时间：</w:t>
            </w:r>
            <w:r>
              <w:rPr>
                <w:rFonts w:hint="eastAsia" w:ascii="宋体" w:hAnsi="宋体" w:eastAsia="宋体"/>
                <w:sz w:val="18"/>
                <w:szCs w:val="18"/>
                <w:lang w:eastAsia="zh-CN"/>
              </w:rPr>
              <w:t>4-19周周三5-7节</w:t>
            </w:r>
          </w:p>
        </w:tc>
        <w:tc>
          <w:tcPr>
            <w:tcW w:w="4693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</w:rPr>
              <w:t>授课地点：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莞城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授课对象：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2019电商、金融班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开课学院：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粤台产业学院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任课教师姓名/职称：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彭桂芳/副教授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答疑时间、地点与方式：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周一/周二第8节，莞城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2303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，电话、邮件或微信等方式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课程考核方式：</w:t>
            </w:r>
            <w:r>
              <w:rPr>
                <w:rFonts w:eastAsia="宋体"/>
                <w:sz w:val="21"/>
                <w:szCs w:val="21"/>
                <w:lang w:eastAsia="zh-CN"/>
              </w:rPr>
              <w:t>开卷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（）</w:t>
            </w:r>
            <w:r>
              <w:rPr>
                <w:rFonts w:eastAsia="宋体"/>
                <w:sz w:val="21"/>
                <w:szCs w:val="21"/>
                <w:lang w:eastAsia="zh-CN"/>
              </w:rPr>
              <w:t>闭卷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（</w:t>
            </w:r>
            <m:oMath>
              <m:r>
                <m:rPr>
                  <m:sty m:val="b"/>
                </m:rPr>
                <w:rPr>
                  <w:rFonts w:ascii="Cambria Math" w:hAnsi="Cambria Math" w:eastAsia="宋体"/>
                  <w:sz w:val="21"/>
                  <w:szCs w:val="21"/>
                  <w:lang w:eastAsia="zh-CN"/>
                </w:rPr>
                <m:t>√</m:t>
              </m:r>
            </m:oMath>
            <w:r>
              <w:rPr>
                <w:rFonts w:eastAsia="宋体"/>
                <w:b/>
                <w:sz w:val="21"/>
                <w:szCs w:val="21"/>
                <w:lang w:eastAsia="zh-CN"/>
              </w:rPr>
              <w:t>）</w:t>
            </w:r>
            <w:r>
              <w:rPr>
                <w:rFonts w:eastAsia="宋体"/>
                <w:sz w:val="21"/>
                <w:szCs w:val="21"/>
                <w:lang w:eastAsia="zh-CN"/>
              </w:rPr>
              <w:t>课程论文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（）</w:t>
            </w:r>
            <w:r>
              <w:rPr>
                <w:rFonts w:eastAsia="宋体"/>
                <w:sz w:val="21"/>
                <w:szCs w:val="21"/>
                <w:lang w:eastAsia="zh-CN"/>
              </w:rPr>
              <w:t>其它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使用教材：</w:t>
            </w:r>
            <w:r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  <w:t xml:space="preserve">陈国辉  </w:t>
            </w:r>
            <w:r>
              <w:rPr>
                <w:rFonts w:hint="eastAsia" w:asciiTheme="minorEastAsia" w:hAnsiTheme="minorEastAsia" w:eastAsiaTheme="minorEastAsia"/>
                <w:bCs/>
                <w:kern w:val="2"/>
                <w:sz w:val="21"/>
                <w:szCs w:val="21"/>
                <w:lang w:eastAsia="zh-CN"/>
              </w:rPr>
              <w:t>《</w:t>
            </w:r>
            <w:r>
              <w:rPr>
                <w:rFonts w:asciiTheme="minorEastAsia" w:hAnsiTheme="minorEastAsia" w:eastAsiaTheme="minorEastAsia"/>
                <w:bCs/>
                <w:kern w:val="2"/>
                <w:sz w:val="21"/>
                <w:szCs w:val="21"/>
                <w:lang w:eastAsia="zh-CN"/>
              </w:rPr>
              <w:t>基础会计</w:t>
            </w:r>
            <w:r>
              <w:rPr>
                <w:rFonts w:hint="eastAsia" w:asciiTheme="minorEastAsia" w:hAnsiTheme="minorEastAsia" w:eastAsiaTheme="minorEastAsia"/>
                <w:bCs/>
                <w:kern w:val="2"/>
                <w:sz w:val="21"/>
                <w:szCs w:val="21"/>
                <w:lang w:eastAsia="zh-CN"/>
              </w:rPr>
              <w:t>》</w:t>
            </w:r>
            <w:r>
              <w:rPr>
                <w:rFonts w:asciiTheme="minorEastAsia" w:hAnsiTheme="minorEastAsia" w:eastAsiaTheme="minorEastAsia"/>
                <w:bCs/>
                <w:kern w:val="2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/>
                <w:bCs/>
                <w:kern w:val="2"/>
                <w:sz w:val="21"/>
                <w:szCs w:val="21"/>
                <w:lang w:eastAsia="zh-CN"/>
              </w:rPr>
              <w:t>最新</w:t>
            </w:r>
            <w:r>
              <w:rPr>
                <w:rFonts w:asciiTheme="minorEastAsia" w:hAnsiTheme="minorEastAsia" w:eastAsiaTheme="minorEastAsia"/>
                <w:bCs/>
                <w:kern w:val="2"/>
                <w:sz w:val="21"/>
                <w:szCs w:val="21"/>
                <w:lang w:eastAsia="zh-CN"/>
              </w:rPr>
              <w:t>版）</w:t>
            </w:r>
            <w:r>
              <w:rPr>
                <w:rFonts w:hint="eastAsia" w:asciiTheme="minorEastAsia" w:hAnsiTheme="minorEastAsia" w:eastAsiaTheme="minorEastAsia"/>
                <w:bCs/>
                <w:kern w:val="2"/>
                <w:sz w:val="21"/>
                <w:szCs w:val="21"/>
                <w:lang w:eastAsia="zh-CN"/>
              </w:rPr>
              <w:t xml:space="preserve">  </w:t>
            </w:r>
            <w:r>
              <w:rPr>
                <w:rFonts w:asciiTheme="minorEastAsia" w:hAnsiTheme="minorEastAsia" w:eastAsiaTheme="minorEastAsia"/>
                <w:bCs/>
                <w:kern w:val="2"/>
                <w:sz w:val="21"/>
                <w:szCs w:val="21"/>
                <w:lang w:eastAsia="zh-CN"/>
              </w:rPr>
              <w:t>东北财经大学出版社</w:t>
            </w:r>
            <w:r>
              <w:rPr>
                <w:rFonts w:hint="eastAsia" w:ascii="宋体" w:hAnsi="宋体" w:eastAsia="宋体"/>
                <w:bCs/>
                <w:sz w:val="21"/>
                <w:szCs w:val="21"/>
                <w:lang w:eastAsia="zh-CN"/>
              </w:rPr>
              <w:t>吉林大学出版社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教学参考资料：</w:t>
            </w:r>
          </w:p>
          <w:p>
            <w:pPr>
              <w:tabs>
                <w:tab w:val="left" w:pos="1440"/>
              </w:tabs>
              <w:jc w:val="left"/>
              <w:outlineLvl w:val="0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《企业会计准则》 ,中国财政经济出版社</w:t>
            </w:r>
          </w:p>
          <w:p>
            <w:pPr>
              <w:tabs>
                <w:tab w:val="left" w:pos="1440"/>
              </w:tabs>
              <w:jc w:val="left"/>
              <w:outlineLvl w:val="0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eastAsiaTheme="minorEastAsia"/>
                <w:bCs/>
                <w:kern w:val="2"/>
                <w:sz w:val="21"/>
                <w:szCs w:val="21"/>
                <w:lang w:eastAsia="zh-CN"/>
              </w:rPr>
              <w:t>《企业会计准则——应用指南</w:t>
            </w:r>
            <w:r>
              <w:rPr>
                <w:rFonts w:hint="eastAsia" w:asciiTheme="minorEastAsia" w:hAnsiTheme="minorEastAsia" w:eastAsiaTheme="minorEastAsia"/>
                <w:bCs/>
                <w:kern w:val="2"/>
                <w:sz w:val="21"/>
                <w:szCs w:val="21"/>
                <w:lang w:eastAsia="zh-CN"/>
              </w:rPr>
              <w:t>》</w:t>
            </w:r>
            <w:r>
              <w:rPr>
                <w:rFonts w:asciiTheme="minorEastAsia" w:hAnsiTheme="minorEastAsia" w:eastAsiaTheme="minorEastAsia"/>
                <w:bCs/>
                <w:kern w:val="2"/>
                <w:sz w:val="21"/>
                <w:szCs w:val="21"/>
                <w:lang w:eastAsia="zh-CN"/>
              </w:rPr>
              <w:t xml:space="preserve"> ,中国财政经济出版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Cs/>
                <w:sz w:val="21"/>
                <w:szCs w:val="21"/>
                <w:lang w:eastAsia="zh-CN"/>
              </w:rPr>
              <w:t>《会计学原理》</w:t>
            </w:r>
            <w:r>
              <w:rPr>
                <w:rFonts w:asciiTheme="minorEastAsia" w:hAnsiTheme="minorEastAsia" w:eastAsiaTheme="minorEastAsia"/>
                <w:bCs/>
                <w:kern w:val="2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/>
                <w:bCs/>
                <w:kern w:val="2"/>
                <w:sz w:val="21"/>
                <w:szCs w:val="21"/>
                <w:lang w:eastAsia="zh-CN"/>
              </w:rPr>
              <w:t>最新</w:t>
            </w:r>
            <w:r>
              <w:rPr>
                <w:rFonts w:asciiTheme="minorEastAsia" w:hAnsiTheme="minorEastAsia" w:eastAsiaTheme="minorEastAsia"/>
                <w:bCs/>
                <w:kern w:val="2"/>
                <w:sz w:val="21"/>
                <w:szCs w:val="21"/>
                <w:lang w:eastAsia="zh-CN"/>
              </w:rPr>
              <w:t>版）</w:t>
            </w:r>
            <w:r>
              <w:rPr>
                <w:rFonts w:hint="eastAsia" w:asciiTheme="minorEastAsia" w:hAnsiTheme="minorEastAsia" w:eastAsiaTheme="minorEastAsia"/>
                <w:bCs/>
                <w:kern w:val="2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/>
                <w:bCs/>
                <w:sz w:val="21"/>
                <w:szCs w:val="21"/>
                <w:lang w:eastAsia="zh-CN"/>
              </w:rPr>
              <w:t>吉林大学出版社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课程简介：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《会计学原理》是经济管理类专业的学科基础课（必修课），是教育部规定的财经类、管理类专业的核心课程之一。《会计学原理》在不同程度上构成了许多课程（如《中级财务会计学》、《高级财务会计学》）的理论基础，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它是经济管理课程体系中属于微观经济管理方面的重要学科，是会计学各分支的基础，经济管理类大部分专业方向的同学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，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都要在学习此课程的基础上进一步学习有关的会计课程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。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学生在学习本课程时应明确会计的基本职能和特点，理解会计核算的基本内容和基本任务,了解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它与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其他经济管理之间的联系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；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掌握会计学的基本理论、会计的基本做账技能和基本方法，为其他专业课程的学习打下坚实基础。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6387" w:type="dxa"/>
            <w:gridSpan w:val="6"/>
          </w:tcPr>
          <w:p>
            <w:pPr>
              <w:tabs>
                <w:tab w:val="left" w:pos="1440"/>
              </w:tabs>
              <w:spacing w:after="0" w:line="360" w:lineRule="exact"/>
              <w:ind w:firstLine="422" w:firstLineChars="200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课程教学目标</w:t>
            </w:r>
          </w:p>
          <w:p>
            <w:pPr>
              <w:spacing w:line="300" w:lineRule="exact"/>
              <w:ind w:firstLine="422" w:firstLineChars="200"/>
              <w:rPr>
                <w:rFonts w:asciiTheme="minorEastAsia" w:hAnsiTheme="minorEastAsia"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一、知识目标</w:t>
            </w:r>
          </w:p>
          <w:p>
            <w:pPr>
              <w:spacing w:line="300" w:lineRule="exact"/>
              <w:ind w:firstLine="420" w:firstLineChars="200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1、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了解会计的基本职能、特点、对象、任务，认识做好会计工作对加强企业经济管理、提高经济效益的重要意义；</w:t>
            </w:r>
          </w:p>
          <w:p>
            <w:pPr>
              <w:spacing w:line="300" w:lineRule="exact"/>
              <w:ind w:firstLine="420" w:firstLineChars="200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2、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理解会计要素、科目和账户的相关理论和记账方法及具体应用；</w:t>
            </w:r>
          </w:p>
          <w:p>
            <w:pPr>
              <w:spacing w:line="300" w:lineRule="exact"/>
              <w:ind w:firstLine="420" w:firstLineChars="200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3、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明确会计核算形式的种类和各种会计核算形式的特点和执行程序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。</w:t>
            </w:r>
          </w:p>
          <w:p>
            <w:pPr>
              <w:spacing w:line="300" w:lineRule="exact"/>
              <w:ind w:firstLine="422" w:firstLineChars="200"/>
              <w:rPr>
                <w:rFonts w:asciiTheme="minorEastAsia" w:hAnsiTheme="minorEastAsia"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二、能力目标</w:t>
            </w:r>
          </w:p>
          <w:p>
            <w:pPr>
              <w:spacing w:line="300" w:lineRule="exact"/>
              <w:ind w:firstLine="420" w:firstLineChars="200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1、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掌握会计凭证、账簿的基本内容和实务操作中的要求；</w:t>
            </w:r>
          </w:p>
          <w:p>
            <w:pPr>
              <w:spacing w:line="300" w:lineRule="exact"/>
              <w:ind w:firstLine="420" w:firstLineChars="200"/>
              <w:rPr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2、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能够阅读和编制基本会计报表，并进行与会计报表相关的财务评价指标计算,以及会计管理的基本内容。</w:t>
            </w:r>
          </w:p>
          <w:p>
            <w:pPr>
              <w:spacing w:after="0" w:line="360" w:lineRule="exact"/>
              <w:ind w:firstLine="422" w:firstLineChars="20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三、素质目标</w:t>
            </w:r>
          </w:p>
          <w:p>
            <w:pPr>
              <w:spacing w:after="0" w:line="360" w:lineRule="exact"/>
              <w:ind w:firstLine="420" w:firstLineChars="20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1、</w:t>
            </w:r>
            <w:r>
              <w:rPr>
                <w:rFonts w:hint="eastAsia" w:eastAsia="宋体"/>
                <w:bCs/>
                <w:sz w:val="21"/>
                <w:szCs w:val="21"/>
                <w:lang w:eastAsia="zh-CN"/>
              </w:rPr>
              <w:t>培养诚实守信、爱岗敬业的良好品格；</w:t>
            </w:r>
          </w:p>
          <w:p>
            <w:pPr>
              <w:spacing w:after="0" w:line="360" w:lineRule="exact"/>
              <w:ind w:firstLine="420" w:firstLineChars="20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2、</w:t>
            </w:r>
            <w:r>
              <w:rPr>
                <w:rFonts w:hint="eastAsia" w:eastAsia="宋体"/>
                <w:bCs/>
                <w:sz w:val="21"/>
                <w:szCs w:val="21"/>
                <w:lang w:eastAsia="zh-CN"/>
              </w:rPr>
              <w:t>自觉遵守各项法律制度，恪守会计职业道德，知法、守法、敬法。</w:t>
            </w:r>
          </w:p>
        </w:tc>
        <w:tc>
          <w:tcPr>
            <w:tcW w:w="3014" w:type="dxa"/>
            <w:gridSpan w:val="4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本课程与学生核心能力培养之间的关联(授课对象为理工科专业学生的课程填写此栏）：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□核心能力1. 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□核心能力2. 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□核心能力3.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□核心能力4.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□核心能力5.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□核心能力6. 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□核心能力7．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□核心能力8．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Cs w:val="21"/>
                <w:lang w:eastAsia="zh-CN"/>
              </w:rPr>
              <w:t>理论教学进程表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741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周次</w:t>
            </w:r>
          </w:p>
        </w:tc>
        <w:tc>
          <w:tcPr>
            <w:tcW w:w="1709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教学主题</w:t>
            </w:r>
          </w:p>
        </w:tc>
        <w:tc>
          <w:tcPr>
            <w:tcW w:w="620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教学时长</w:t>
            </w:r>
          </w:p>
        </w:tc>
        <w:tc>
          <w:tcPr>
            <w:tcW w:w="4017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eastAsiaTheme="minorEastAsia"/>
                <w:b/>
                <w:sz w:val="21"/>
                <w:szCs w:val="21"/>
                <w:lang w:eastAsia="zh-CN"/>
              </w:rPr>
              <w:t>教学的重点、难点、</w:t>
            </w: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984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教学方式</w:t>
            </w:r>
          </w:p>
        </w:tc>
        <w:tc>
          <w:tcPr>
            <w:tcW w:w="1330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作业安排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41" w:type="dxa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4-5</w:t>
            </w:r>
          </w:p>
        </w:tc>
        <w:tc>
          <w:tcPr>
            <w:tcW w:w="1709" w:type="dxa"/>
            <w:gridSpan w:val="2"/>
            <w:vAlign w:val="center"/>
          </w:tcPr>
          <w:p>
            <w:pPr>
              <w:spacing w:after="0" w:line="0" w:lineRule="atLeas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总论</w:t>
            </w:r>
          </w:p>
        </w:tc>
        <w:tc>
          <w:tcPr>
            <w:tcW w:w="620" w:type="dxa"/>
            <w:vAlign w:val="center"/>
          </w:tcPr>
          <w:p>
            <w:pPr>
              <w:spacing w:after="0" w:line="0" w:lineRule="atLeas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4017" w:type="dxa"/>
            <w:gridSpan w:val="3"/>
            <w:vAlign w:val="center"/>
          </w:tcPr>
          <w:p>
            <w:pPr>
              <w:spacing w:after="0" w:line="0" w:lineRule="atLeas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重点：会计要素、会计核算的基本前提、会计核算的一般原则、会计核算方法；</w:t>
            </w:r>
          </w:p>
          <w:p>
            <w:pPr>
              <w:spacing w:after="0" w:line="0" w:lineRule="atLeas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难点：会计要素的理解</w:t>
            </w:r>
          </w:p>
          <w:p>
            <w:pPr>
              <w:spacing w:after="0" w:line="0" w:lineRule="atLeas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课程思政融入点：介绍会计基本法律法规、会计职业道德和会计准则，培养学生诚实守信的精神。</w:t>
            </w:r>
          </w:p>
        </w:tc>
        <w:tc>
          <w:tcPr>
            <w:tcW w:w="984" w:type="dxa"/>
            <w:gridSpan w:val="2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330" w:type="dxa"/>
            <w:vAlign w:val="center"/>
          </w:tcPr>
          <w:p>
            <w:pPr>
              <w:spacing w:after="0" w:line="0" w:lineRule="atLeast"/>
              <w:rPr>
                <w:rFonts w:eastAsiaTheme="minorEastAsia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hint="eastAsia" w:eastAsiaTheme="minorEastAsia"/>
                <w:color w:val="000000" w:themeColor="text1"/>
                <w:sz w:val="18"/>
                <w:szCs w:val="18"/>
                <w:lang w:eastAsia="zh-CN"/>
              </w:rPr>
              <w:t>习题、</w:t>
            </w:r>
          </w:p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color w:val="000000" w:themeColor="text1"/>
                <w:sz w:val="18"/>
                <w:szCs w:val="18"/>
                <w:lang w:eastAsia="zh-CN"/>
              </w:rPr>
              <w:t>课程思政作业：要求学生每人至少阅读两篇与</w:t>
            </w:r>
            <w:r>
              <w:rPr>
                <w:rFonts w:hint="eastAsia" w:eastAsiaTheme="minorEastAsia"/>
                <w:color w:val="000000" w:themeColor="text1"/>
                <w:sz w:val="18"/>
                <w:szCs w:val="18"/>
                <w:lang w:eastAsia="zh-CN"/>
              </w:rPr>
              <w:t>会计职业道德</w:t>
            </w:r>
            <w:r>
              <w:rPr>
                <w:rFonts w:eastAsiaTheme="minorEastAsia"/>
                <w:color w:val="000000" w:themeColor="text1"/>
                <w:sz w:val="18"/>
                <w:szCs w:val="18"/>
                <w:lang w:eastAsia="zh-CN"/>
              </w:rPr>
              <w:t>有关的文章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41" w:type="dxa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709" w:type="dxa"/>
            <w:gridSpan w:val="2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会计科目与会计账户、会计等式</w:t>
            </w:r>
          </w:p>
        </w:tc>
        <w:tc>
          <w:tcPr>
            <w:tcW w:w="620" w:type="dxa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017" w:type="dxa"/>
            <w:gridSpan w:val="3"/>
            <w:vAlign w:val="center"/>
          </w:tcPr>
          <w:p>
            <w:pPr>
              <w:spacing w:after="0" w:line="0" w:lineRule="atLeas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重点：会计科目的分类，会计账户的性质及应用、会计恒等式及扩展等式</w:t>
            </w:r>
          </w:p>
          <w:p>
            <w:pPr>
              <w:spacing w:after="0" w:line="0" w:lineRule="atLeast"/>
              <w:rPr>
                <w:rFonts w:ascii="宋体" w:hAnsi="宋体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难点：会计等式的理解</w:t>
            </w:r>
          </w:p>
        </w:tc>
        <w:tc>
          <w:tcPr>
            <w:tcW w:w="984" w:type="dxa"/>
            <w:gridSpan w:val="2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330" w:type="dxa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习题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41" w:type="dxa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7-8</w:t>
            </w:r>
          </w:p>
        </w:tc>
        <w:tc>
          <w:tcPr>
            <w:tcW w:w="1709" w:type="dxa"/>
            <w:gridSpan w:val="2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借贷记账法</w:t>
            </w:r>
          </w:p>
        </w:tc>
        <w:tc>
          <w:tcPr>
            <w:tcW w:w="620" w:type="dxa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4017" w:type="dxa"/>
            <w:gridSpan w:val="3"/>
            <w:vAlign w:val="center"/>
          </w:tcPr>
          <w:p>
            <w:pPr>
              <w:spacing w:after="0" w:line="0" w:lineRule="atLeas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重点：借贷记账法的账户结构、会计分录</w:t>
            </w:r>
          </w:p>
          <w:p>
            <w:pPr>
              <w:spacing w:after="0" w:line="0" w:lineRule="atLeas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难点：借贷记账法的记账规则</w:t>
            </w:r>
          </w:p>
        </w:tc>
        <w:tc>
          <w:tcPr>
            <w:tcW w:w="984" w:type="dxa"/>
            <w:gridSpan w:val="2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课堂讲授+小组讨论+实训</w:t>
            </w:r>
          </w:p>
        </w:tc>
        <w:tc>
          <w:tcPr>
            <w:tcW w:w="1330" w:type="dxa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习题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41" w:type="dxa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9-14</w:t>
            </w:r>
          </w:p>
        </w:tc>
        <w:tc>
          <w:tcPr>
            <w:tcW w:w="1709" w:type="dxa"/>
            <w:gridSpan w:val="2"/>
            <w:vAlign w:val="center"/>
          </w:tcPr>
          <w:p>
            <w:pPr>
              <w:spacing w:after="0" w:line="0" w:lineRule="atLeas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制造企业主要经济业务的核算</w:t>
            </w:r>
          </w:p>
        </w:tc>
        <w:tc>
          <w:tcPr>
            <w:tcW w:w="620" w:type="dxa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4017" w:type="dxa"/>
            <w:gridSpan w:val="3"/>
            <w:vAlign w:val="center"/>
          </w:tcPr>
          <w:p>
            <w:pPr>
              <w:spacing w:after="0" w:line="0" w:lineRule="atLeas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重点：制造业企业常见的经济业务会计分录的编制</w:t>
            </w:r>
          </w:p>
          <w:p>
            <w:pPr>
              <w:spacing w:after="0" w:line="0" w:lineRule="atLeas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难点：生产过程、利润分配过程经济业务的核算</w:t>
            </w:r>
          </w:p>
        </w:tc>
        <w:tc>
          <w:tcPr>
            <w:tcW w:w="984" w:type="dxa"/>
            <w:gridSpan w:val="2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课堂讲授+小组讨论+实训</w:t>
            </w:r>
          </w:p>
        </w:tc>
        <w:tc>
          <w:tcPr>
            <w:tcW w:w="1330" w:type="dxa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习题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41" w:type="dxa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1709" w:type="dxa"/>
            <w:gridSpan w:val="2"/>
            <w:vAlign w:val="center"/>
          </w:tcPr>
          <w:p>
            <w:pPr>
              <w:spacing w:after="0" w:line="0" w:lineRule="atLeas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期中考核</w:t>
            </w:r>
          </w:p>
        </w:tc>
        <w:tc>
          <w:tcPr>
            <w:tcW w:w="620" w:type="dxa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017" w:type="dxa"/>
            <w:gridSpan w:val="3"/>
            <w:vAlign w:val="center"/>
          </w:tcPr>
          <w:p>
            <w:pP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期中复习，期中测验</w:t>
            </w:r>
          </w:p>
        </w:tc>
        <w:tc>
          <w:tcPr>
            <w:tcW w:w="984" w:type="dxa"/>
            <w:gridSpan w:val="2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测验</w:t>
            </w:r>
          </w:p>
        </w:tc>
        <w:tc>
          <w:tcPr>
            <w:tcW w:w="1330" w:type="dxa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41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170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资产计价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、成本核算</w:t>
            </w:r>
          </w:p>
        </w:tc>
        <w:tc>
          <w:tcPr>
            <w:tcW w:w="620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017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重点：存货、固定资产、应收款项的初始计量、减值准备，各项资产的减值；产品采购、生产、销售成本的核算</w:t>
            </w:r>
          </w:p>
          <w:p>
            <w:pPr>
              <w:spacing w:after="0" w:line="0" w:lineRule="atLeas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难点：存货、固定资产、应收款项常用计价方法的理解及应用</w:t>
            </w:r>
          </w:p>
        </w:tc>
        <w:tc>
          <w:tcPr>
            <w:tcW w:w="98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课堂讲授+小组讨论</w:t>
            </w:r>
          </w:p>
        </w:tc>
        <w:tc>
          <w:tcPr>
            <w:tcW w:w="1330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习题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1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会计核算组织程序、财产清查</w:t>
            </w:r>
          </w:p>
        </w:tc>
        <w:tc>
          <w:tcPr>
            <w:tcW w:w="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0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重点：账务处理的基本程序，记账凭证、汇总记账凭证、科目汇总表的核算组织程序；货币资金、存货、固定资产、债权等资产的清查及账务处理</w:t>
            </w:r>
          </w:p>
          <w:p>
            <w:pPr>
              <w:spacing w:after="0" w:line="0" w:lineRule="atLeas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难点：各种账务处理程序的理解及应用，清查结果的账务处理</w:t>
            </w:r>
          </w:p>
          <w:p>
            <w:pPr>
              <w:spacing w:after="0" w:line="0" w:lineRule="atLeas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课程思政融入点：财产清查是保证账实相符的会计核算方法，对于清查结果要按照正确的方法来进行账务处理，以保证会计资料真实可靠。</w:t>
            </w:r>
          </w:p>
        </w:tc>
        <w:tc>
          <w:tcPr>
            <w:tcW w:w="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课堂讲授+小组讨论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color w:val="000000" w:themeColor="text1"/>
                <w:sz w:val="18"/>
                <w:szCs w:val="18"/>
                <w:lang w:eastAsia="zh-CN"/>
              </w:rPr>
              <w:t>课程思政作业</w:t>
            </w:r>
            <w:r>
              <w:rPr>
                <w:rFonts w:hint="eastAsia" w:eastAsiaTheme="minorEastAsia"/>
                <w:color w:val="000000" w:themeColor="text1"/>
                <w:sz w:val="18"/>
                <w:szCs w:val="18"/>
                <w:lang w:eastAsia="zh-CN"/>
              </w:rPr>
              <w:t>：每人找一个财产清查的案例进行分析并谈谈财产清查的意义。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17-19</w:t>
            </w:r>
          </w:p>
        </w:tc>
        <w:tc>
          <w:tcPr>
            <w:tcW w:w="1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财务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会计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报告</w:t>
            </w:r>
          </w:p>
        </w:tc>
        <w:tc>
          <w:tcPr>
            <w:tcW w:w="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40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0" w:lineRule="atLeas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重点：资产负债表、利润表的编制</w:t>
            </w:r>
          </w:p>
          <w:p>
            <w:pPr>
              <w:spacing w:after="0" w:line="0" w:lineRule="atLeas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难点：几种报表编制方法的理解及运用</w:t>
            </w:r>
          </w:p>
          <w:p>
            <w:pPr>
              <w:spacing w:after="0" w:line="0" w:lineRule="atLeas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课程思政融入点：编制会计报表要客观真实可靠，不伪造，不偏颇，不人为操控利润，为报表使用者服务。</w:t>
            </w:r>
          </w:p>
        </w:tc>
        <w:tc>
          <w:tcPr>
            <w:tcW w:w="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课堂讲授+小组讨论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color w:val="000000" w:themeColor="text1"/>
                <w:sz w:val="18"/>
                <w:szCs w:val="18"/>
                <w:lang w:eastAsia="zh-CN"/>
              </w:rPr>
              <w:t>课程思政作业</w:t>
            </w:r>
            <w:r>
              <w:rPr>
                <w:rFonts w:hint="eastAsia" w:eastAsiaTheme="minorEastAsia"/>
                <w:color w:val="000000" w:themeColor="text1"/>
                <w:sz w:val="18"/>
                <w:szCs w:val="18"/>
                <w:lang w:eastAsia="zh-CN"/>
              </w:rPr>
              <w:t>：根据会计报表舞弊的案例分析会计报表造假的目的及严重危害。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19</w:t>
            </w:r>
          </w:p>
        </w:tc>
        <w:tc>
          <w:tcPr>
            <w:tcW w:w="1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复习</w:t>
            </w:r>
          </w:p>
        </w:tc>
        <w:tc>
          <w:tcPr>
            <w:tcW w:w="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0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课程</w:t>
            </w: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总结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，课程</w:t>
            </w: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答疑</w:t>
            </w:r>
          </w:p>
        </w:tc>
        <w:tc>
          <w:tcPr>
            <w:tcW w:w="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450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合计：</w:t>
            </w:r>
          </w:p>
        </w:tc>
        <w:tc>
          <w:tcPr>
            <w:tcW w:w="620" w:type="dxa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48</w:t>
            </w:r>
          </w:p>
        </w:tc>
        <w:tc>
          <w:tcPr>
            <w:tcW w:w="4017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84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330" w:type="dxa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b/>
                <w:szCs w:val="21"/>
                <w:lang w:eastAsia="zh-CN"/>
              </w:rPr>
            </w:pPr>
            <w:r>
              <w:rPr>
                <w:rFonts w:eastAsia="宋体"/>
                <w:b/>
                <w:szCs w:val="21"/>
                <w:lang w:eastAsia="zh-CN"/>
              </w:rPr>
              <w:t>成绩评定方法及标准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86" w:type="dxa"/>
            <w:gridSpan w:val="2"/>
            <w:vAlign w:val="center"/>
          </w:tcPr>
          <w:p>
            <w:pPr>
              <w:snapToGrid w:val="0"/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</w:rPr>
              <w:t>考核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744" w:type="dxa"/>
            <w:gridSpan w:val="6"/>
            <w:vAlign w:val="center"/>
          </w:tcPr>
          <w:p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评价标准</w:t>
            </w:r>
          </w:p>
        </w:tc>
        <w:tc>
          <w:tcPr>
            <w:tcW w:w="1571" w:type="dxa"/>
            <w:gridSpan w:val="2"/>
            <w:vAlign w:val="center"/>
          </w:tcPr>
          <w:p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权重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86" w:type="dxa"/>
            <w:gridSpan w:val="2"/>
            <w:vAlign w:val="center"/>
          </w:tcPr>
          <w:p>
            <w:pPr>
              <w:snapToGrid w:val="0"/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平时考勤、课后作业（百分制）</w:t>
            </w:r>
          </w:p>
        </w:tc>
        <w:tc>
          <w:tcPr>
            <w:tcW w:w="5744" w:type="dxa"/>
            <w:gridSpan w:val="6"/>
            <w:vAlign w:val="center"/>
          </w:tcPr>
          <w:p>
            <w:pPr>
              <w:snapToGrid w:val="0"/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按时上课，不迟到、早退（占平时成绩中的40分）不</w:t>
            </w: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抄袭，独立完成，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书</w:t>
            </w: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写工整，答题正确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（占平时成绩中的50分）</w:t>
            </w:r>
          </w:p>
        </w:tc>
        <w:tc>
          <w:tcPr>
            <w:tcW w:w="1571" w:type="dxa"/>
            <w:gridSpan w:val="2"/>
            <w:vAlign w:val="center"/>
          </w:tcPr>
          <w:p>
            <w:pPr>
              <w:snapToGrid w:val="0"/>
              <w:spacing w:after="0" w:line="0" w:lineRule="atLeast"/>
              <w:ind w:left="180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30%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86" w:type="dxa"/>
            <w:gridSpan w:val="2"/>
            <w:vAlign w:val="center"/>
          </w:tcPr>
          <w:p>
            <w:pPr>
              <w:snapToGrid w:val="0"/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期中测验（百分制）</w:t>
            </w:r>
          </w:p>
        </w:tc>
        <w:tc>
          <w:tcPr>
            <w:tcW w:w="5744" w:type="dxa"/>
            <w:gridSpan w:val="6"/>
            <w:vAlign w:val="center"/>
          </w:tcPr>
          <w:p>
            <w:pPr>
              <w:snapToGrid w:val="0"/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按照完成情况（占平时成绩中的10分）</w:t>
            </w:r>
          </w:p>
        </w:tc>
        <w:tc>
          <w:tcPr>
            <w:tcW w:w="1571" w:type="dxa"/>
            <w:gridSpan w:val="2"/>
            <w:vAlign w:val="center"/>
          </w:tcPr>
          <w:p>
            <w:pPr>
              <w:snapToGrid w:val="0"/>
              <w:spacing w:after="0" w:line="0" w:lineRule="atLeast"/>
              <w:ind w:left="180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10%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86" w:type="dxa"/>
            <w:gridSpan w:val="2"/>
            <w:vAlign w:val="center"/>
          </w:tcPr>
          <w:p>
            <w:pPr>
              <w:snapToGrid w:val="0"/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期末考试（百分制）</w:t>
            </w:r>
          </w:p>
        </w:tc>
        <w:tc>
          <w:tcPr>
            <w:tcW w:w="5744" w:type="dxa"/>
            <w:gridSpan w:val="6"/>
            <w:vAlign w:val="center"/>
          </w:tcPr>
          <w:p>
            <w:pPr>
              <w:snapToGrid w:val="0"/>
              <w:spacing w:after="0" w:line="0" w:lineRule="atLeas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书</w:t>
            </w: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写工整，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答题</w:t>
            </w: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正确</w:t>
            </w:r>
          </w:p>
        </w:tc>
        <w:tc>
          <w:tcPr>
            <w:tcW w:w="1571" w:type="dxa"/>
            <w:gridSpan w:val="2"/>
            <w:vAlign w:val="center"/>
          </w:tcPr>
          <w:p>
            <w:pPr>
              <w:snapToGrid w:val="0"/>
              <w:spacing w:after="0" w:line="0" w:lineRule="atLeast"/>
              <w:ind w:left="180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60%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snapToGrid w:val="0"/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注：总评成绩=平时成绩*30%++期中测验*10%+期末考试*60%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snapToGrid w:val="0"/>
              <w:spacing w:after="0" w:line="360" w:lineRule="exact"/>
              <w:ind w:left="18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大纲编写时间：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2019年9月6日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1" w:hRule="atLeast"/>
          <w:jc w:val="center"/>
        </w:trPr>
        <w:tc>
          <w:tcPr>
            <w:tcW w:w="9401" w:type="dxa"/>
            <w:gridSpan w:val="10"/>
          </w:tcPr>
          <w:p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宋体"/>
                <w:b/>
                <w:szCs w:val="21"/>
                <w:lang w:eastAsia="zh-CN"/>
              </w:rPr>
            </w:pPr>
            <w:r>
              <w:rPr>
                <w:rFonts w:eastAsia="宋体"/>
                <w:b/>
                <w:szCs w:val="21"/>
                <w:lang w:eastAsia="zh-CN"/>
              </w:rPr>
              <w:t>系（部）审查意见：</w:t>
            </w:r>
          </w:p>
          <w:p>
            <w:pPr>
              <w:spacing w:after="0" w:line="360" w:lineRule="exact"/>
              <w:ind w:firstLine="57" w:firstLineChars="2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bookmarkStart w:id="0" w:name="_GoBack"/>
            <w:r>
              <w:rPr>
                <w:rFonts w:hint="eastAsia" w:eastAsia="宋体"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1250315</wp:posOffset>
                  </wp:positionH>
                  <wp:positionV relativeFrom="paragraph">
                    <wp:posOffset>163830</wp:posOffset>
                  </wp:positionV>
                  <wp:extent cx="1621790" cy="799465"/>
                  <wp:effectExtent l="0" t="0" r="16510" b="635"/>
                  <wp:wrapSquare wrapText="bothSides"/>
                  <wp:docPr id="1" name="图片 1" descr="时维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时维宁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1790" cy="799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bookmarkEnd w:id="0"/>
          </w:p>
          <w:p>
            <w:pPr>
              <w:spacing w:after="0" w:line="360" w:lineRule="exact"/>
              <w:ind w:right="420"/>
              <w:rPr>
                <w:rFonts w:eastAsia="宋体"/>
                <w:sz w:val="21"/>
                <w:szCs w:val="21"/>
                <w:lang w:eastAsia="zh-CN"/>
              </w:rPr>
            </w:pPr>
          </w:p>
          <w:p>
            <w:pPr>
              <w:wordWrap w:val="0"/>
              <w:spacing w:after="0" w:line="360" w:lineRule="exact"/>
              <w:ind w:right="420"/>
              <w:jc w:val="righ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系（部）主任签名：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 xml:space="preserve">            </w:t>
            </w:r>
            <w:r>
              <w:rPr>
                <w:rFonts w:eastAsia="宋体"/>
                <w:sz w:val="21"/>
                <w:szCs w:val="21"/>
                <w:lang w:eastAsia="zh-CN"/>
              </w:rPr>
              <w:t>日期：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 xml:space="preserve">       </w:t>
            </w:r>
            <w:r>
              <w:rPr>
                <w:rFonts w:eastAsia="宋体"/>
                <w:sz w:val="21"/>
                <w:szCs w:val="21"/>
                <w:lang w:eastAsia="zh-CN"/>
              </w:rPr>
              <w:t>年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eastAsia="宋体"/>
                <w:sz w:val="21"/>
                <w:szCs w:val="21"/>
                <w:lang w:eastAsia="zh-CN"/>
              </w:rPr>
              <w:t>月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 xml:space="preserve">    </w:t>
            </w:r>
            <w:r>
              <w:rPr>
                <w:rFonts w:eastAsia="宋体"/>
                <w:sz w:val="21"/>
                <w:szCs w:val="21"/>
                <w:lang w:eastAsia="zh-CN"/>
              </w:rPr>
              <w:t>日</w:t>
            </w:r>
          </w:p>
          <w:p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</w:tbl>
    <w:p>
      <w:pPr>
        <w:spacing w:after="0" w:line="360" w:lineRule="exact"/>
        <w:rPr>
          <w:rFonts w:eastAsiaTheme="minorEastAsia"/>
          <w:b/>
          <w:bCs/>
          <w:sz w:val="21"/>
          <w:szCs w:val="21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DFKai-SB">
    <w:altName w:val="Microsoft JhengHei Light"/>
    <w:panose1 w:val="03000509000000000000"/>
    <w:charset w:val="88"/>
    <w:family w:val="script"/>
    <w:pitch w:val="default"/>
    <w:sig w:usb0="00000000" w:usb1="00000000" w:usb2="00000016" w:usb3="00000000" w:csb0="00100001" w:csb1="00000000"/>
  </w:font>
  <w:font w:name="CIDFont + F2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2"/>
  </w:compat>
  <w:rsids>
    <w:rsidRoot w:val="2C23799B"/>
    <w:rsid w:val="000041EE"/>
    <w:rsid w:val="00031499"/>
    <w:rsid w:val="00041405"/>
    <w:rsid w:val="00061F27"/>
    <w:rsid w:val="0006698D"/>
    <w:rsid w:val="00071517"/>
    <w:rsid w:val="00087B74"/>
    <w:rsid w:val="000A200B"/>
    <w:rsid w:val="000A6952"/>
    <w:rsid w:val="000B626E"/>
    <w:rsid w:val="000C2D4A"/>
    <w:rsid w:val="000E0AE8"/>
    <w:rsid w:val="00113022"/>
    <w:rsid w:val="00155E5A"/>
    <w:rsid w:val="00171228"/>
    <w:rsid w:val="001B2F66"/>
    <w:rsid w:val="001B31E9"/>
    <w:rsid w:val="001C65C9"/>
    <w:rsid w:val="001D28E8"/>
    <w:rsid w:val="001E0D54"/>
    <w:rsid w:val="001F20BC"/>
    <w:rsid w:val="001F3ABD"/>
    <w:rsid w:val="002111AE"/>
    <w:rsid w:val="0022318D"/>
    <w:rsid w:val="002254E6"/>
    <w:rsid w:val="00227119"/>
    <w:rsid w:val="00243D26"/>
    <w:rsid w:val="00291611"/>
    <w:rsid w:val="00295970"/>
    <w:rsid w:val="002A251B"/>
    <w:rsid w:val="002C0D8F"/>
    <w:rsid w:val="002E27E1"/>
    <w:rsid w:val="003044FA"/>
    <w:rsid w:val="00322A5E"/>
    <w:rsid w:val="0036095B"/>
    <w:rsid w:val="0037561C"/>
    <w:rsid w:val="00380CC7"/>
    <w:rsid w:val="003C66D8"/>
    <w:rsid w:val="003D31AD"/>
    <w:rsid w:val="003D69D0"/>
    <w:rsid w:val="003E2BAB"/>
    <w:rsid w:val="003E66A6"/>
    <w:rsid w:val="00414FC8"/>
    <w:rsid w:val="00457E42"/>
    <w:rsid w:val="004718FD"/>
    <w:rsid w:val="004B3994"/>
    <w:rsid w:val="004D29DE"/>
    <w:rsid w:val="004D41D3"/>
    <w:rsid w:val="004D4D7F"/>
    <w:rsid w:val="004E0481"/>
    <w:rsid w:val="004E278D"/>
    <w:rsid w:val="004E7804"/>
    <w:rsid w:val="00527F10"/>
    <w:rsid w:val="005639AB"/>
    <w:rsid w:val="00575059"/>
    <w:rsid w:val="00577918"/>
    <w:rsid w:val="005805E8"/>
    <w:rsid w:val="005829AE"/>
    <w:rsid w:val="00584217"/>
    <w:rsid w:val="005911D3"/>
    <w:rsid w:val="005F174F"/>
    <w:rsid w:val="005F37B1"/>
    <w:rsid w:val="00631FA7"/>
    <w:rsid w:val="0063410F"/>
    <w:rsid w:val="0065651C"/>
    <w:rsid w:val="0066058B"/>
    <w:rsid w:val="006C408C"/>
    <w:rsid w:val="0070331B"/>
    <w:rsid w:val="00727E84"/>
    <w:rsid w:val="00735FDE"/>
    <w:rsid w:val="00761B69"/>
    <w:rsid w:val="00770F0D"/>
    <w:rsid w:val="00776AF2"/>
    <w:rsid w:val="00785779"/>
    <w:rsid w:val="007A154B"/>
    <w:rsid w:val="007E4319"/>
    <w:rsid w:val="00800D33"/>
    <w:rsid w:val="008147FF"/>
    <w:rsid w:val="00815F78"/>
    <w:rsid w:val="008512DF"/>
    <w:rsid w:val="00855020"/>
    <w:rsid w:val="0086430F"/>
    <w:rsid w:val="00885EED"/>
    <w:rsid w:val="00892ADC"/>
    <w:rsid w:val="00896971"/>
    <w:rsid w:val="008A7332"/>
    <w:rsid w:val="008B4200"/>
    <w:rsid w:val="008F6642"/>
    <w:rsid w:val="009039A7"/>
    <w:rsid w:val="00907E3A"/>
    <w:rsid w:val="009165CE"/>
    <w:rsid w:val="00917C66"/>
    <w:rsid w:val="00930C61"/>
    <w:rsid w:val="009349EE"/>
    <w:rsid w:val="00936F70"/>
    <w:rsid w:val="009622D8"/>
    <w:rsid w:val="009825FE"/>
    <w:rsid w:val="009A2B5C"/>
    <w:rsid w:val="009B3EAE"/>
    <w:rsid w:val="009B455F"/>
    <w:rsid w:val="009C3354"/>
    <w:rsid w:val="009D3079"/>
    <w:rsid w:val="009F31B8"/>
    <w:rsid w:val="009F7907"/>
    <w:rsid w:val="00A06998"/>
    <w:rsid w:val="00A15965"/>
    <w:rsid w:val="00A25ECC"/>
    <w:rsid w:val="00A30BBC"/>
    <w:rsid w:val="00A41C45"/>
    <w:rsid w:val="00A718F9"/>
    <w:rsid w:val="00A84D68"/>
    <w:rsid w:val="00A85774"/>
    <w:rsid w:val="00AA199F"/>
    <w:rsid w:val="00AB00C2"/>
    <w:rsid w:val="00AB43DF"/>
    <w:rsid w:val="00AB5269"/>
    <w:rsid w:val="00AB631D"/>
    <w:rsid w:val="00AC2F83"/>
    <w:rsid w:val="00AE48DD"/>
    <w:rsid w:val="00AF342D"/>
    <w:rsid w:val="00B02542"/>
    <w:rsid w:val="00B05FEC"/>
    <w:rsid w:val="00B06911"/>
    <w:rsid w:val="00B23DFD"/>
    <w:rsid w:val="00B82E41"/>
    <w:rsid w:val="00BB35F5"/>
    <w:rsid w:val="00C01B2C"/>
    <w:rsid w:val="00C06D81"/>
    <w:rsid w:val="00C1760A"/>
    <w:rsid w:val="00C20F26"/>
    <w:rsid w:val="00C34B8F"/>
    <w:rsid w:val="00C41D05"/>
    <w:rsid w:val="00C479CB"/>
    <w:rsid w:val="00C47FEC"/>
    <w:rsid w:val="00C705DD"/>
    <w:rsid w:val="00C71079"/>
    <w:rsid w:val="00C76FA2"/>
    <w:rsid w:val="00CA1AB8"/>
    <w:rsid w:val="00CC4A46"/>
    <w:rsid w:val="00CD10EA"/>
    <w:rsid w:val="00CD270A"/>
    <w:rsid w:val="00CD2F8F"/>
    <w:rsid w:val="00D03074"/>
    <w:rsid w:val="00D268B2"/>
    <w:rsid w:val="00D45246"/>
    <w:rsid w:val="00D62B41"/>
    <w:rsid w:val="00D75F7E"/>
    <w:rsid w:val="00D96CF7"/>
    <w:rsid w:val="00DB43AF"/>
    <w:rsid w:val="00DB45CF"/>
    <w:rsid w:val="00DB4CE8"/>
    <w:rsid w:val="00DB5724"/>
    <w:rsid w:val="00DC0918"/>
    <w:rsid w:val="00DC6725"/>
    <w:rsid w:val="00DF5C03"/>
    <w:rsid w:val="00E0505F"/>
    <w:rsid w:val="00E21004"/>
    <w:rsid w:val="00E37302"/>
    <w:rsid w:val="00E413E8"/>
    <w:rsid w:val="00E42434"/>
    <w:rsid w:val="00E53E23"/>
    <w:rsid w:val="00E96800"/>
    <w:rsid w:val="00EB0385"/>
    <w:rsid w:val="00EC2295"/>
    <w:rsid w:val="00ED3FCA"/>
    <w:rsid w:val="00F03B6B"/>
    <w:rsid w:val="00F31667"/>
    <w:rsid w:val="00F527DD"/>
    <w:rsid w:val="00F605A4"/>
    <w:rsid w:val="00F617C2"/>
    <w:rsid w:val="00F96D96"/>
    <w:rsid w:val="00FA0724"/>
    <w:rsid w:val="00FA5D95"/>
    <w:rsid w:val="00FC21FE"/>
    <w:rsid w:val="00FE22C8"/>
    <w:rsid w:val="235A642E"/>
    <w:rsid w:val="28AD1D92"/>
    <w:rsid w:val="2C23799B"/>
    <w:rsid w:val="62602DF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/>
      <w:jc w:val="both"/>
    </w:pPr>
    <w:rPr>
      <w:rFonts w:ascii="Times New Roman" w:hAnsi="Times New Roman" w:eastAsia="PMingLiU" w:cs="Times New Roman"/>
      <w:sz w:val="24"/>
      <w:szCs w:val="22"/>
      <w:lang w:val="en-US" w:eastAsia="en-US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qFormat/>
    <w:uiPriority w:val="0"/>
    <w:pPr>
      <w:spacing w:after="0"/>
    </w:pPr>
    <w:rPr>
      <w:sz w:val="18"/>
      <w:szCs w:val="18"/>
    </w:rPr>
  </w:style>
  <w:style w:type="paragraph" w:styleId="3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7"/>
    <w:qFormat/>
    <w:uiPriority w:val="20"/>
    <w:rPr>
      <w:i/>
      <w:iCs/>
    </w:rPr>
  </w:style>
  <w:style w:type="character" w:styleId="9">
    <w:name w:val="Hyperlink"/>
    <w:basedOn w:val="7"/>
    <w:qFormat/>
    <w:uiPriority w:val="0"/>
    <w:rPr>
      <w:color w:val="0563C1" w:themeColor="hyperlink"/>
      <w:u w:val="single"/>
    </w:rPr>
  </w:style>
  <w:style w:type="paragraph" w:customStyle="1" w:styleId="10">
    <w:name w:val="列出段落1"/>
    <w:basedOn w:val="1"/>
    <w:qFormat/>
    <w:uiPriority w:val="34"/>
    <w:pPr>
      <w:widowControl w:val="0"/>
      <w:spacing w:after="0"/>
      <w:ind w:left="480" w:leftChars="200"/>
      <w:jc w:val="left"/>
    </w:pPr>
    <w:rPr>
      <w:rFonts w:ascii="Calibri" w:hAnsi="Calibri" w:eastAsia="DFKai-SB"/>
      <w:kern w:val="2"/>
      <w:lang w:eastAsia="zh-TW"/>
    </w:rPr>
  </w:style>
  <w:style w:type="character" w:customStyle="1" w:styleId="11">
    <w:name w:val="fontstyle01"/>
    <w:basedOn w:val="7"/>
    <w:uiPriority w:val="0"/>
    <w:rPr>
      <w:rFonts w:ascii="CIDFont + F2" w:hAnsi="CIDFont + F2" w:eastAsia="CIDFont + F2" w:cs="CIDFont + F2"/>
      <w:color w:val="000000"/>
      <w:sz w:val="20"/>
      <w:szCs w:val="20"/>
    </w:rPr>
  </w:style>
  <w:style w:type="character" w:customStyle="1" w:styleId="12">
    <w:name w:val="页眉 Char"/>
    <w:basedOn w:val="7"/>
    <w:link w:val="4"/>
    <w:uiPriority w:val="0"/>
    <w:rPr>
      <w:rFonts w:eastAsia="PMingLiU"/>
      <w:sz w:val="18"/>
      <w:szCs w:val="18"/>
      <w:lang w:eastAsia="en-US"/>
    </w:rPr>
  </w:style>
  <w:style w:type="character" w:customStyle="1" w:styleId="13">
    <w:name w:val="页脚 Char"/>
    <w:basedOn w:val="7"/>
    <w:link w:val="3"/>
    <w:qFormat/>
    <w:uiPriority w:val="0"/>
    <w:rPr>
      <w:rFonts w:eastAsia="PMingLiU"/>
      <w:sz w:val="18"/>
      <w:szCs w:val="18"/>
      <w:lang w:eastAsia="en-US"/>
    </w:rPr>
  </w:style>
  <w:style w:type="paragraph" w:styleId="14">
    <w:name w:val="List Paragraph"/>
    <w:basedOn w:val="1"/>
    <w:unhideWhenUsed/>
    <w:qFormat/>
    <w:uiPriority w:val="34"/>
    <w:pPr>
      <w:ind w:firstLine="420" w:firstLineChars="200"/>
    </w:pPr>
  </w:style>
  <w:style w:type="character" w:customStyle="1" w:styleId="15">
    <w:name w:val="批注框文本 Char"/>
    <w:basedOn w:val="7"/>
    <w:link w:val="2"/>
    <w:qFormat/>
    <w:uiPriority w:val="0"/>
    <w:rPr>
      <w:rFonts w:eastAsia="PMingLiU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0F4A63B-2D3A-440E-96AF-25DC9A135F8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335</Words>
  <Characters>1912</Characters>
  <Lines>15</Lines>
  <Paragraphs>4</Paragraphs>
  <TotalTime>1</TotalTime>
  <ScaleCrop>false</ScaleCrop>
  <LinksUpToDate>false</LinksUpToDate>
  <CharactersWithSpaces>2243</CharactersWithSpaces>
  <Application>WPS Office_11.1.0.8808_F1E327BC-269C-435d-A152-05C5408002CA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2019-09-12T08:10:00Z</dcterms:created>
  <dc:creator>lenovo</dc:creator>
  <cp:lastModifiedBy>落情湖</cp:lastModifiedBy>
  <cp:lastPrinted>2019-02-27T02:04:00Z</cp:lastPrinted>
  <dcterms:modified xsi:type="dcterms:W3CDTF">2019-09-27T03:15:38Z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