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0" w:line="360" w:lineRule="exact"/>
        <w:jc w:val="center"/>
        <w:rPr>
          <w:rFonts w:eastAsiaTheme="minorEastAsia"/>
          <w:b/>
          <w:sz w:val="32"/>
          <w:szCs w:val="32"/>
          <w:lang w:eastAsia="zh-CN"/>
        </w:rPr>
      </w:pPr>
      <w:r>
        <w:rPr>
          <w:b/>
          <w:sz w:val="32"/>
          <w:szCs w:val="32"/>
          <w:lang w:eastAsia="zh-CN"/>
        </w:rPr>
        <w:t>《</w:t>
      </w:r>
      <w:r>
        <w:rPr>
          <w:rFonts w:hint="eastAsia" w:eastAsiaTheme="minorEastAsia"/>
          <w:b/>
          <w:sz w:val="32"/>
          <w:szCs w:val="32"/>
          <w:lang w:eastAsia="zh-CN"/>
        </w:rPr>
        <w:t>会计学原理</w:t>
      </w:r>
      <w:r>
        <w:rPr>
          <w:b/>
          <w:sz w:val="32"/>
          <w:szCs w:val="32"/>
          <w:lang w:eastAsia="zh-CN"/>
        </w:rPr>
        <w:t>》教学大纲</w:t>
      </w:r>
    </w:p>
    <w:tbl>
      <w:tblPr>
        <w:tblStyle w:val="5"/>
        <w:tblW w:w="9401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1"/>
        <w:gridCol w:w="1345"/>
        <w:gridCol w:w="364"/>
        <w:gridCol w:w="620"/>
        <w:gridCol w:w="1638"/>
        <w:gridCol w:w="1679"/>
        <w:gridCol w:w="700"/>
        <w:gridCol w:w="743"/>
        <w:gridCol w:w="241"/>
        <w:gridCol w:w="1330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4708" w:type="dxa"/>
            <w:gridSpan w:val="5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t>课程名称：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会计学原理</w:t>
            </w:r>
          </w:p>
        </w:tc>
        <w:tc>
          <w:tcPr>
            <w:tcW w:w="4693" w:type="dxa"/>
            <w:gridSpan w:val="5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t>课程类别（必修/选修）：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必修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10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</w:rPr>
            </w:pPr>
            <w:r>
              <w:rPr>
                <w:rFonts w:eastAsia="宋体"/>
                <w:b/>
                <w:sz w:val="21"/>
                <w:szCs w:val="21"/>
              </w:rPr>
              <w:t>课程英文名称：</w:t>
            </w:r>
            <w:r>
              <w:rPr>
                <w:rFonts w:ascii="宋体" w:hAnsi="宋体"/>
                <w:color w:val="000000"/>
                <w:szCs w:val="24"/>
                <w:shd w:val="clear" w:color="auto" w:fill="FFFFFF"/>
              </w:rPr>
              <w:t>Accounting</w:t>
            </w:r>
            <w:r>
              <w:rPr>
                <w:rFonts w:hint="eastAsia" w:ascii="宋体" w:hAnsi="宋体" w:eastAsiaTheme="minorEastAsia"/>
                <w:color w:val="000000"/>
                <w:szCs w:val="24"/>
                <w:shd w:val="clear" w:color="auto" w:fill="FFFFFF"/>
                <w:lang w:eastAsia="zh-CN"/>
              </w:rPr>
              <w:t xml:space="preserve">   </w:t>
            </w:r>
            <w:r>
              <w:rPr>
                <w:rFonts w:ascii="宋体" w:hAnsi="宋体"/>
                <w:color w:val="000000"/>
                <w:szCs w:val="24"/>
                <w:shd w:val="clear" w:color="auto" w:fill="FFFFFF"/>
              </w:rPr>
              <w:t xml:space="preserve"> Principles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4708" w:type="dxa"/>
            <w:gridSpan w:val="5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b/>
                <w:sz w:val="21"/>
                <w:szCs w:val="21"/>
              </w:rPr>
              <w:t>总学时/周学时/学分：</w:t>
            </w: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48/3/3</w:t>
            </w:r>
          </w:p>
        </w:tc>
        <w:tc>
          <w:tcPr>
            <w:tcW w:w="4693" w:type="dxa"/>
            <w:gridSpan w:val="5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t>其中实验/实践学时：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10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</w:rPr>
            </w:pPr>
            <w:r>
              <w:rPr>
                <w:rFonts w:eastAsia="宋体"/>
                <w:b/>
                <w:sz w:val="21"/>
                <w:szCs w:val="21"/>
              </w:rPr>
              <w:t>先修课程：</w:t>
            </w: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经济学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4708" w:type="dxa"/>
            <w:gridSpan w:val="5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t>授课时间：</w:t>
            </w:r>
            <w:r>
              <w:rPr>
                <w:rFonts w:hint="eastAsia" w:ascii="宋体" w:hAnsi="宋体" w:eastAsia="宋体"/>
                <w:sz w:val="18"/>
                <w:szCs w:val="18"/>
                <w:lang w:eastAsia="zh-CN"/>
              </w:rPr>
              <w:t>4-19周周三5-7节</w:t>
            </w:r>
          </w:p>
        </w:tc>
        <w:tc>
          <w:tcPr>
            <w:tcW w:w="4693" w:type="dxa"/>
            <w:gridSpan w:val="5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</w:rPr>
              <w:t>授课地点：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莞城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10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t>授课对象：</w:t>
            </w: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2019电商、金融班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10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t>开课学院：</w:t>
            </w: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粤台产业学院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10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t>任课教师姓名/职称：</w:t>
            </w: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彭桂芳/副教授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10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t>答疑时间、地点与方式：</w:t>
            </w: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周一/周二第8节，莞城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2303</w:t>
            </w: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，电话、邮件或微信等方式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10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bCs/>
                <w:sz w:val="21"/>
                <w:szCs w:val="21"/>
                <w:lang w:eastAsia="zh-CN"/>
              </w:rPr>
              <w:t>课程考核方式：</w:t>
            </w:r>
            <w:r>
              <w:rPr>
                <w:rFonts w:eastAsia="宋体"/>
                <w:sz w:val="21"/>
                <w:szCs w:val="21"/>
                <w:lang w:eastAsia="zh-CN"/>
              </w:rPr>
              <w:t>开卷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（）</w:t>
            </w:r>
            <w:r>
              <w:rPr>
                <w:rFonts w:eastAsia="宋体"/>
                <w:sz w:val="21"/>
                <w:szCs w:val="21"/>
                <w:lang w:eastAsia="zh-CN"/>
              </w:rPr>
              <w:t>闭卷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（</w:t>
            </w:r>
            <m:oMath>
              <m:r>
                <m:rPr>
                  <m:sty m:val="b"/>
                </m:rPr>
                <w:rPr>
                  <w:rFonts w:ascii="Cambria Math" w:hAnsi="Cambria Math" w:eastAsia="宋体"/>
                  <w:sz w:val="21"/>
                  <w:szCs w:val="21"/>
                  <w:lang w:eastAsia="zh-CN"/>
                </w:rPr>
                <m:t>√</m:t>
              </m:r>
            </m:oMath>
            <w:r>
              <w:rPr>
                <w:rFonts w:eastAsia="宋体"/>
                <w:b/>
                <w:sz w:val="21"/>
                <w:szCs w:val="21"/>
                <w:lang w:eastAsia="zh-CN"/>
              </w:rPr>
              <w:t>）</w:t>
            </w:r>
            <w:r>
              <w:rPr>
                <w:rFonts w:eastAsia="宋体"/>
                <w:sz w:val="21"/>
                <w:szCs w:val="21"/>
                <w:lang w:eastAsia="zh-CN"/>
              </w:rPr>
              <w:t>课程论文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（）</w:t>
            </w:r>
            <w:r>
              <w:rPr>
                <w:rFonts w:eastAsia="宋体"/>
                <w:sz w:val="21"/>
                <w:szCs w:val="21"/>
                <w:lang w:eastAsia="zh-CN"/>
              </w:rPr>
              <w:t>其它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（）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10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bCs/>
                <w:sz w:val="21"/>
                <w:szCs w:val="21"/>
                <w:lang w:eastAsia="zh-CN"/>
              </w:rPr>
              <w:t>使用教材：</w:t>
            </w:r>
            <w:r>
              <w:rPr>
                <w:rFonts w:hint="eastAsia" w:eastAsia="宋体"/>
                <w:b/>
                <w:bCs/>
                <w:sz w:val="21"/>
                <w:szCs w:val="21"/>
                <w:lang w:eastAsia="zh-CN"/>
              </w:rPr>
              <w:t xml:space="preserve">陈国辉  </w:t>
            </w:r>
            <w:r>
              <w:rPr>
                <w:rFonts w:hint="eastAsia" w:asciiTheme="minorEastAsia" w:hAnsiTheme="minorEastAsia" w:eastAsiaTheme="minorEastAsia"/>
                <w:bCs/>
                <w:kern w:val="2"/>
                <w:sz w:val="21"/>
                <w:szCs w:val="21"/>
                <w:lang w:eastAsia="zh-CN"/>
              </w:rPr>
              <w:t>《</w:t>
            </w:r>
            <w:r>
              <w:rPr>
                <w:rFonts w:asciiTheme="minorEastAsia" w:hAnsiTheme="minorEastAsia" w:eastAsiaTheme="minorEastAsia"/>
                <w:bCs/>
                <w:kern w:val="2"/>
                <w:sz w:val="21"/>
                <w:szCs w:val="21"/>
                <w:lang w:eastAsia="zh-CN"/>
              </w:rPr>
              <w:t>基础会计</w:t>
            </w:r>
            <w:r>
              <w:rPr>
                <w:rFonts w:hint="eastAsia" w:asciiTheme="minorEastAsia" w:hAnsiTheme="minorEastAsia" w:eastAsiaTheme="minorEastAsia"/>
                <w:bCs/>
                <w:kern w:val="2"/>
                <w:sz w:val="21"/>
                <w:szCs w:val="21"/>
                <w:lang w:eastAsia="zh-CN"/>
              </w:rPr>
              <w:t>》</w:t>
            </w:r>
            <w:r>
              <w:rPr>
                <w:rFonts w:asciiTheme="minorEastAsia" w:hAnsiTheme="minorEastAsia" w:eastAsiaTheme="minorEastAsia"/>
                <w:bCs/>
                <w:kern w:val="2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Theme="minorEastAsia" w:hAnsiTheme="minorEastAsia" w:eastAsiaTheme="minorEastAsia"/>
                <w:bCs/>
                <w:kern w:val="2"/>
                <w:sz w:val="21"/>
                <w:szCs w:val="21"/>
                <w:lang w:eastAsia="zh-CN"/>
              </w:rPr>
              <w:t>最新</w:t>
            </w:r>
            <w:r>
              <w:rPr>
                <w:rFonts w:asciiTheme="minorEastAsia" w:hAnsiTheme="minorEastAsia" w:eastAsiaTheme="minorEastAsia"/>
                <w:bCs/>
                <w:kern w:val="2"/>
                <w:sz w:val="21"/>
                <w:szCs w:val="21"/>
                <w:lang w:eastAsia="zh-CN"/>
              </w:rPr>
              <w:t>版）</w:t>
            </w:r>
            <w:r>
              <w:rPr>
                <w:rFonts w:hint="eastAsia" w:asciiTheme="minorEastAsia" w:hAnsiTheme="minorEastAsia" w:eastAsiaTheme="minorEastAsia"/>
                <w:bCs/>
                <w:kern w:val="2"/>
                <w:sz w:val="21"/>
                <w:szCs w:val="21"/>
                <w:lang w:eastAsia="zh-CN"/>
              </w:rPr>
              <w:t xml:space="preserve">  </w:t>
            </w:r>
            <w:r>
              <w:rPr>
                <w:rFonts w:asciiTheme="minorEastAsia" w:hAnsiTheme="minorEastAsia" w:eastAsiaTheme="minorEastAsia"/>
                <w:bCs/>
                <w:kern w:val="2"/>
                <w:sz w:val="21"/>
                <w:szCs w:val="21"/>
                <w:lang w:eastAsia="zh-CN"/>
              </w:rPr>
              <w:t>东北财经大学出版社</w:t>
            </w:r>
            <w:r>
              <w:rPr>
                <w:rFonts w:hint="eastAsia" w:ascii="宋体" w:hAnsi="宋体" w:eastAsia="宋体"/>
                <w:bCs/>
                <w:sz w:val="21"/>
                <w:szCs w:val="21"/>
                <w:lang w:eastAsia="zh-CN"/>
              </w:rPr>
              <w:t>吉林大学出版社</w:t>
            </w:r>
          </w:p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bCs/>
                <w:sz w:val="21"/>
                <w:szCs w:val="21"/>
                <w:lang w:eastAsia="zh-CN"/>
              </w:rPr>
              <w:t>教学参考资料：</w:t>
            </w:r>
          </w:p>
          <w:p>
            <w:pPr>
              <w:tabs>
                <w:tab w:val="left" w:pos="1440"/>
              </w:tabs>
              <w:jc w:val="left"/>
              <w:outlineLvl w:val="0"/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</w:pPr>
            <w:r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  <w:t>《企业会计准则》 ,中国财政经济出版社</w:t>
            </w:r>
          </w:p>
          <w:p>
            <w:pPr>
              <w:tabs>
                <w:tab w:val="left" w:pos="1440"/>
              </w:tabs>
              <w:jc w:val="left"/>
              <w:outlineLvl w:val="0"/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</w:pPr>
            <w:r>
              <w:rPr>
                <w:rFonts w:asciiTheme="minorEastAsia" w:hAnsiTheme="minorEastAsia" w:eastAsiaTheme="minorEastAsia"/>
                <w:bCs/>
                <w:kern w:val="2"/>
                <w:sz w:val="21"/>
                <w:szCs w:val="21"/>
                <w:lang w:eastAsia="zh-CN"/>
              </w:rPr>
              <w:t>《企业会计准则——应用指南</w:t>
            </w:r>
            <w:r>
              <w:rPr>
                <w:rFonts w:hint="eastAsia" w:asciiTheme="minorEastAsia" w:hAnsiTheme="minorEastAsia" w:eastAsiaTheme="minorEastAsia"/>
                <w:bCs/>
                <w:kern w:val="2"/>
                <w:sz w:val="21"/>
                <w:szCs w:val="21"/>
                <w:lang w:eastAsia="zh-CN"/>
              </w:rPr>
              <w:t>》</w:t>
            </w:r>
            <w:r>
              <w:rPr>
                <w:rFonts w:asciiTheme="minorEastAsia" w:hAnsiTheme="minorEastAsia" w:eastAsiaTheme="minorEastAsia"/>
                <w:bCs/>
                <w:kern w:val="2"/>
                <w:sz w:val="21"/>
                <w:szCs w:val="21"/>
                <w:lang w:eastAsia="zh-CN"/>
              </w:rPr>
              <w:t xml:space="preserve"> ,中国财政经济出版</w:t>
            </w:r>
          </w:p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bCs/>
                <w:sz w:val="21"/>
                <w:szCs w:val="21"/>
                <w:lang w:eastAsia="zh-CN"/>
              </w:rPr>
              <w:t>《会计学原理》</w:t>
            </w:r>
            <w:r>
              <w:rPr>
                <w:rFonts w:asciiTheme="minorEastAsia" w:hAnsiTheme="minorEastAsia" w:eastAsiaTheme="minorEastAsia"/>
                <w:bCs/>
                <w:kern w:val="2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Theme="minorEastAsia" w:hAnsiTheme="minorEastAsia" w:eastAsiaTheme="minorEastAsia"/>
                <w:bCs/>
                <w:kern w:val="2"/>
                <w:sz w:val="21"/>
                <w:szCs w:val="21"/>
                <w:lang w:eastAsia="zh-CN"/>
              </w:rPr>
              <w:t>最新</w:t>
            </w:r>
            <w:r>
              <w:rPr>
                <w:rFonts w:asciiTheme="minorEastAsia" w:hAnsiTheme="minorEastAsia" w:eastAsiaTheme="minorEastAsia"/>
                <w:bCs/>
                <w:kern w:val="2"/>
                <w:sz w:val="21"/>
                <w:szCs w:val="21"/>
                <w:lang w:eastAsia="zh-CN"/>
              </w:rPr>
              <w:t>版）</w:t>
            </w:r>
            <w:r>
              <w:rPr>
                <w:rFonts w:hint="eastAsia" w:asciiTheme="minorEastAsia" w:hAnsiTheme="minorEastAsia" w:eastAsiaTheme="minorEastAsia"/>
                <w:bCs/>
                <w:kern w:val="2"/>
                <w:sz w:val="21"/>
                <w:szCs w:val="21"/>
                <w:lang w:eastAsia="zh-CN"/>
              </w:rPr>
              <w:t>，</w:t>
            </w:r>
            <w:r>
              <w:rPr>
                <w:rFonts w:hint="eastAsia" w:ascii="宋体" w:hAnsi="宋体" w:eastAsia="宋体"/>
                <w:bCs/>
                <w:sz w:val="21"/>
                <w:szCs w:val="21"/>
                <w:lang w:eastAsia="zh-CN"/>
              </w:rPr>
              <w:t>吉林大学出版社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10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t>课程简介：</w:t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《会计学原理》是经济管理类专业的学科基础课（必修课），是教育部规定的财经类、管理类专业的核心课程之一。《会计学原理》在不同程度上构成了许多课程（如《中级财务会计学》、《高级财务会计学》）的理论基础，</w:t>
            </w:r>
            <w:r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  <w:t>它是经济管理课程体系中属于微观经济管理方面的重要学科，是会计学各分支的基础，经济管理类大部分专业方向的同学</w:t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，</w:t>
            </w:r>
            <w:r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  <w:t>都要在学习此课程的基础上进一步学习有关的会计课程</w:t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。</w:t>
            </w:r>
            <w:r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  <w:t>学生在学习本课程时应明确会计的基本职能和特点，理解会计核算的基本内容和基本任务,了解</w:t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它与</w:t>
            </w:r>
            <w:r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  <w:t>其他经济管理之间的联系</w:t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；</w:t>
            </w:r>
            <w:r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  <w:t>掌握会计学的基本理论、会计的基本做账技能和基本方法，为其他专业课程的学习打下坚实基础。</w:t>
            </w:r>
          </w:p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5" w:hRule="atLeast"/>
          <w:jc w:val="center"/>
        </w:trPr>
        <w:tc>
          <w:tcPr>
            <w:tcW w:w="6387" w:type="dxa"/>
            <w:gridSpan w:val="6"/>
          </w:tcPr>
          <w:p>
            <w:pPr>
              <w:tabs>
                <w:tab w:val="left" w:pos="1440"/>
              </w:tabs>
              <w:spacing w:after="0" w:line="360" w:lineRule="exact"/>
              <w:ind w:firstLine="422" w:firstLineChars="200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t>课程教学目标</w:t>
            </w:r>
          </w:p>
          <w:p>
            <w:pPr>
              <w:spacing w:line="300" w:lineRule="exact"/>
              <w:ind w:firstLine="422" w:firstLineChars="200"/>
              <w:rPr>
                <w:rFonts w:asciiTheme="minorEastAsia" w:hAnsiTheme="minorEastAsia" w:eastAsiaTheme="minorEastAsia"/>
                <w:b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b/>
                <w:sz w:val="21"/>
                <w:szCs w:val="21"/>
                <w:lang w:eastAsia="zh-CN"/>
              </w:rPr>
              <w:t>一、知识目标</w:t>
            </w:r>
          </w:p>
          <w:p>
            <w:pPr>
              <w:spacing w:line="300" w:lineRule="exact"/>
              <w:ind w:firstLine="420" w:firstLineChars="200"/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1、</w:t>
            </w:r>
            <w:r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  <w:t>了解会计的基本职能、特点、对象、任务，认识做好会计工作对加强企业经济管理、提高经济效益的重要意义；</w:t>
            </w:r>
          </w:p>
          <w:p>
            <w:pPr>
              <w:spacing w:line="300" w:lineRule="exact"/>
              <w:ind w:firstLine="420" w:firstLineChars="200"/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2、</w:t>
            </w:r>
            <w:r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  <w:t>理解会计要素、科目和账户的相关理论和记账方法及具体应用；</w:t>
            </w:r>
          </w:p>
          <w:p>
            <w:pPr>
              <w:spacing w:line="300" w:lineRule="exact"/>
              <w:ind w:firstLine="420" w:firstLineChars="200"/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3、</w:t>
            </w:r>
            <w:r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  <w:t>明确会计核算形式的种类和各种会计核算形式的特点和执行程序</w:t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。</w:t>
            </w:r>
          </w:p>
          <w:p>
            <w:pPr>
              <w:spacing w:line="300" w:lineRule="exact"/>
              <w:ind w:firstLine="422" w:firstLineChars="200"/>
              <w:rPr>
                <w:rFonts w:asciiTheme="minorEastAsia" w:hAnsiTheme="minorEastAsia" w:eastAsiaTheme="minorEastAsia"/>
                <w:b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b/>
                <w:sz w:val="21"/>
                <w:szCs w:val="21"/>
                <w:lang w:eastAsia="zh-CN"/>
              </w:rPr>
              <w:t>二、能力目标</w:t>
            </w:r>
          </w:p>
          <w:p>
            <w:pPr>
              <w:spacing w:line="300" w:lineRule="exact"/>
              <w:ind w:firstLine="420" w:firstLineChars="200"/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1、</w:t>
            </w:r>
            <w:r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  <w:t>掌握会计凭证、账簿的基本内容和实务操作中的要求；</w:t>
            </w:r>
          </w:p>
          <w:p>
            <w:pPr>
              <w:spacing w:line="300" w:lineRule="exact"/>
              <w:ind w:firstLine="420" w:firstLineChars="200"/>
              <w:rPr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2、</w:t>
            </w:r>
            <w:r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  <w:t>能够阅读和编制基本会计报表，并进行与会计报表相关的财务评价指标计算,以及会计管理的基本内容。</w:t>
            </w:r>
          </w:p>
          <w:p>
            <w:pPr>
              <w:spacing w:after="0" w:line="360" w:lineRule="exact"/>
              <w:ind w:firstLine="422" w:firstLineChars="20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三、素质目标</w:t>
            </w:r>
          </w:p>
          <w:p>
            <w:pPr>
              <w:spacing w:after="0" w:line="360" w:lineRule="exact"/>
              <w:ind w:firstLine="420" w:firstLineChars="200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1、</w:t>
            </w:r>
            <w:r>
              <w:rPr>
                <w:rFonts w:hint="eastAsia" w:eastAsia="宋体"/>
                <w:bCs/>
                <w:sz w:val="21"/>
                <w:szCs w:val="21"/>
                <w:lang w:eastAsia="zh-CN"/>
              </w:rPr>
              <w:t>培养诚实守信、爱岗敬业的良好品格；</w:t>
            </w:r>
          </w:p>
          <w:p>
            <w:pPr>
              <w:spacing w:after="0" w:line="360" w:lineRule="exact"/>
              <w:ind w:firstLine="420" w:firstLineChars="20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2、</w:t>
            </w:r>
            <w:r>
              <w:rPr>
                <w:rFonts w:hint="eastAsia" w:eastAsia="宋体"/>
                <w:bCs/>
                <w:sz w:val="21"/>
                <w:szCs w:val="21"/>
                <w:lang w:eastAsia="zh-CN"/>
              </w:rPr>
              <w:t>自觉遵守各项法律制度，恪守会计职业道德，知法、守法、敬法。</w:t>
            </w:r>
          </w:p>
        </w:tc>
        <w:tc>
          <w:tcPr>
            <w:tcW w:w="3014" w:type="dxa"/>
            <w:gridSpan w:val="4"/>
          </w:tcPr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t>本课程与学生核心能力培养之间的关联(授课对象为理工科专业学生的课程填写此栏）：</w:t>
            </w:r>
          </w:p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t xml:space="preserve">□核心能力1. </w:t>
            </w:r>
          </w:p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t xml:space="preserve">□核心能力2. </w:t>
            </w:r>
          </w:p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t>□核心能力3.</w:t>
            </w:r>
          </w:p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t>□核心能力4.</w:t>
            </w:r>
          </w:p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t>□核心能力5.</w:t>
            </w:r>
          </w:p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t xml:space="preserve">□核心能力6. </w:t>
            </w:r>
          </w:p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t>□核心能力7．</w:t>
            </w:r>
          </w:p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t>□核心能力8．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10"/>
            <w:shd w:val="clear" w:color="auto" w:fill="C0C0C0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jc w:val="center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Cs w:val="21"/>
                <w:lang w:eastAsia="zh-CN"/>
              </w:rPr>
              <w:t>理论教学进程表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  <w:jc w:val="center"/>
        </w:trPr>
        <w:tc>
          <w:tcPr>
            <w:tcW w:w="741" w:type="dxa"/>
            <w:tcMar>
              <w:left w:w="28" w:type="dxa"/>
              <w:right w:w="28" w:type="dxa"/>
            </w:tcMar>
            <w:vAlign w:val="center"/>
          </w:tcPr>
          <w:p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</w:rPr>
            </w:pPr>
            <w:r>
              <w:rPr>
                <w:rFonts w:eastAsia="宋体"/>
                <w:b/>
                <w:sz w:val="21"/>
                <w:szCs w:val="21"/>
              </w:rPr>
              <w:t>周次</w:t>
            </w:r>
          </w:p>
        </w:tc>
        <w:tc>
          <w:tcPr>
            <w:tcW w:w="1709" w:type="dxa"/>
            <w:gridSpan w:val="2"/>
            <w:tcMar>
              <w:left w:w="28" w:type="dxa"/>
              <w:right w:w="28" w:type="dxa"/>
            </w:tcMar>
            <w:vAlign w:val="center"/>
          </w:tcPr>
          <w:p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</w:rPr>
            </w:pPr>
            <w:r>
              <w:rPr>
                <w:rFonts w:eastAsia="宋体"/>
                <w:b/>
                <w:sz w:val="21"/>
                <w:szCs w:val="21"/>
              </w:rPr>
              <w:t>教学主题</w:t>
            </w:r>
          </w:p>
        </w:tc>
        <w:tc>
          <w:tcPr>
            <w:tcW w:w="620" w:type="dxa"/>
            <w:tcMar>
              <w:left w:w="28" w:type="dxa"/>
              <w:right w:w="28" w:type="dxa"/>
            </w:tcMar>
            <w:vAlign w:val="center"/>
          </w:tcPr>
          <w:p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</w:rPr>
            </w:pPr>
            <w:r>
              <w:rPr>
                <w:rFonts w:eastAsia="宋体"/>
                <w:b/>
                <w:sz w:val="21"/>
                <w:szCs w:val="21"/>
              </w:rPr>
              <w:t>教学时长</w:t>
            </w:r>
          </w:p>
        </w:tc>
        <w:tc>
          <w:tcPr>
            <w:tcW w:w="4017" w:type="dxa"/>
            <w:gridSpan w:val="3"/>
            <w:tcMar>
              <w:left w:w="28" w:type="dxa"/>
              <w:right w:w="28" w:type="dxa"/>
            </w:tcMar>
            <w:vAlign w:val="center"/>
          </w:tcPr>
          <w:p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asciiTheme="minorEastAsia" w:hAnsiTheme="minorEastAsia" w:eastAsiaTheme="minorEastAsia"/>
                <w:b/>
                <w:sz w:val="21"/>
                <w:szCs w:val="21"/>
                <w:lang w:eastAsia="zh-CN"/>
              </w:rPr>
              <w:t>教学的重点、难点、</w:t>
            </w:r>
            <w:r>
              <w:rPr>
                <w:rFonts w:hint="eastAsia" w:asciiTheme="minorEastAsia" w:hAnsiTheme="minorEastAsia" w:eastAsiaTheme="minorEastAsia"/>
                <w:b/>
                <w:color w:val="000000" w:themeColor="text1"/>
                <w:sz w:val="21"/>
                <w:szCs w:val="21"/>
                <w:lang w:eastAsia="zh-CN"/>
              </w:rPr>
              <w:t>课程思政融入点</w:t>
            </w:r>
          </w:p>
        </w:tc>
        <w:tc>
          <w:tcPr>
            <w:tcW w:w="984" w:type="dxa"/>
            <w:gridSpan w:val="2"/>
            <w:tcMar>
              <w:left w:w="28" w:type="dxa"/>
              <w:right w:w="28" w:type="dxa"/>
            </w:tcMar>
            <w:vAlign w:val="center"/>
          </w:tcPr>
          <w:p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</w:rPr>
            </w:pPr>
            <w:r>
              <w:rPr>
                <w:rFonts w:eastAsia="宋体"/>
                <w:b/>
                <w:sz w:val="21"/>
                <w:szCs w:val="21"/>
              </w:rPr>
              <w:t>教学方式</w:t>
            </w:r>
          </w:p>
        </w:tc>
        <w:tc>
          <w:tcPr>
            <w:tcW w:w="1330" w:type="dxa"/>
            <w:tcMar>
              <w:left w:w="28" w:type="dxa"/>
              <w:right w:w="28" w:type="dxa"/>
            </w:tcMar>
            <w:vAlign w:val="center"/>
          </w:tcPr>
          <w:p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</w:rPr>
            </w:pPr>
            <w:r>
              <w:rPr>
                <w:rFonts w:eastAsia="宋体"/>
                <w:b/>
                <w:sz w:val="21"/>
                <w:szCs w:val="21"/>
              </w:rPr>
              <w:t>作业安排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41" w:type="dxa"/>
            <w:vAlign w:val="center"/>
          </w:tcPr>
          <w:p>
            <w:pPr>
              <w:spacing w:after="0" w:line="0" w:lineRule="atLeast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4-5</w:t>
            </w:r>
          </w:p>
        </w:tc>
        <w:tc>
          <w:tcPr>
            <w:tcW w:w="1709" w:type="dxa"/>
            <w:gridSpan w:val="2"/>
            <w:vAlign w:val="center"/>
          </w:tcPr>
          <w:p>
            <w:pPr>
              <w:spacing w:after="0" w:line="0" w:lineRule="atLeast"/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总论</w:t>
            </w:r>
          </w:p>
        </w:tc>
        <w:tc>
          <w:tcPr>
            <w:tcW w:w="620" w:type="dxa"/>
            <w:vAlign w:val="center"/>
          </w:tcPr>
          <w:p>
            <w:pPr>
              <w:spacing w:after="0" w:line="0" w:lineRule="atLeast"/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6</w:t>
            </w:r>
          </w:p>
        </w:tc>
        <w:tc>
          <w:tcPr>
            <w:tcW w:w="4017" w:type="dxa"/>
            <w:gridSpan w:val="3"/>
            <w:vAlign w:val="center"/>
          </w:tcPr>
          <w:p>
            <w:pPr>
              <w:spacing w:after="0" w:line="0" w:lineRule="atLeast"/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重点：会计要素、会计核算的基本前提、会计核算的一般原则、会计核算方法；</w:t>
            </w:r>
          </w:p>
          <w:p>
            <w:pPr>
              <w:spacing w:after="0" w:line="0" w:lineRule="atLeast"/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难点：会计要素的理解</w:t>
            </w:r>
          </w:p>
          <w:p>
            <w:pPr>
              <w:spacing w:after="0" w:line="0" w:lineRule="atLeast"/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课程思政融入点：介绍会计基本法律法规、会计职业道德和会计准则，培养学生诚实守信的精神。</w:t>
            </w:r>
          </w:p>
        </w:tc>
        <w:tc>
          <w:tcPr>
            <w:tcW w:w="984" w:type="dxa"/>
            <w:gridSpan w:val="2"/>
            <w:vAlign w:val="center"/>
          </w:tcPr>
          <w:p>
            <w:pPr>
              <w:spacing w:after="0" w:line="0" w:lineRule="atLeast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课堂讲授</w:t>
            </w:r>
          </w:p>
        </w:tc>
        <w:tc>
          <w:tcPr>
            <w:tcW w:w="1330" w:type="dxa"/>
            <w:vAlign w:val="center"/>
          </w:tcPr>
          <w:p>
            <w:pPr>
              <w:spacing w:after="0" w:line="0" w:lineRule="atLeast"/>
              <w:rPr>
                <w:rFonts w:eastAsiaTheme="minorEastAsia"/>
                <w:color w:val="000000" w:themeColor="text1"/>
                <w:sz w:val="18"/>
                <w:szCs w:val="18"/>
                <w:lang w:eastAsia="zh-CN"/>
              </w:rPr>
            </w:pPr>
            <w:r>
              <w:rPr>
                <w:rFonts w:hint="eastAsia" w:eastAsiaTheme="minorEastAsia"/>
                <w:color w:val="000000" w:themeColor="text1"/>
                <w:sz w:val="18"/>
                <w:szCs w:val="18"/>
                <w:lang w:eastAsia="zh-CN"/>
              </w:rPr>
              <w:t>习题、</w:t>
            </w:r>
          </w:p>
          <w:p>
            <w:pPr>
              <w:spacing w:after="0" w:line="0" w:lineRule="atLeast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color w:val="000000" w:themeColor="text1"/>
                <w:sz w:val="18"/>
                <w:szCs w:val="18"/>
                <w:lang w:eastAsia="zh-CN"/>
              </w:rPr>
              <w:t>课程思政作业：要求学生每人至少阅读两篇与</w:t>
            </w:r>
            <w:r>
              <w:rPr>
                <w:rFonts w:hint="eastAsia" w:eastAsiaTheme="minorEastAsia"/>
                <w:color w:val="000000" w:themeColor="text1"/>
                <w:sz w:val="18"/>
                <w:szCs w:val="18"/>
                <w:lang w:eastAsia="zh-CN"/>
              </w:rPr>
              <w:t>会计职业道德</w:t>
            </w:r>
            <w:r>
              <w:rPr>
                <w:rFonts w:eastAsiaTheme="minorEastAsia"/>
                <w:color w:val="000000" w:themeColor="text1"/>
                <w:sz w:val="18"/>
                <w:szCs w:val="18"/>
                <w:lang w:eastAsia="zh-CN"/>
              </w:rPr>
              <w:t>有关的文章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41" w:type="dxa"/>
            <w:vAlign w:val="center"/>
          </w:tcPr>
          <w:p>
            <w:pPr>
              <w:spacing w:after="0" w:line="0" w:lineRule="atLeast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6</w:t>
            </w:r>
          </w:p>
        </w:tc>
        <w:tc>
          <w:tcPr>
            <w:tcW w:w="1709" w:type="dxa"/>
            <w:gridSpan w:val="2"/>
            <w:vAlign w:val="center"/>
          </w:tcPr>
          <w:p>
            <w:pPr>
              <w:spacing w:after="0" w:line="0" w:lineRule="atLeast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会计科目与会计账户、会计等式</w:t>
            </w:r>
          </w:p>
        </w:tc>
        <w:tc>
          <w:tcPr>
            <w:tcW w:w="620" w:type="dxa"/>
            <w:vAlign w:val="center"/>
          </w:tcPr>
          <w:p>
            <w:pPr>
              <w:spacing w:after="0" w:line="0" w:lineRule="atLeast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4017" w:type="dxa"/>
            <w:gridSpan w:val="3"/>
            <w:vAlign w:val="center"/>
          </w:tcPr>
          <w:p>
            <w:pPr>
              <w:spacing w:after="0" w:line="0" w:lineRule="atLeast"/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重点：会计科目的分类，会计账户的性质及应用、会计恒等式及扩展等式</w:t>
            </w:r>
          </w:p>
          <w:p>
            <w:pPr>
              <w:spacing w:after="0" w:line="0" w:lineRule="atLeast"/>
              <w:rPr>
                <w:rFonts w:ascii="宋体" w:hAnsi="宋体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难点：会计等式的理解</w:t>
            </w:r>
          </w:p>
        </w:tc>
        <w:tc>
          <w:tcPr>
            <w:tcW w:w="984" w:type="dxa"/>
            <w:gridSpan w:val="2"/>
            <w:vAlign w:val="center"/>
          </w:tcPr>
          <w:p>
            <w:pPr>
              <w:spacing w:after="0" w:line="0" w:lineRule="atLeast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课堂讲授</w:t>
            </w:r>
          </w:p>
        </w:tc>
        <w:tc>
          <w:tcPr>
            <w:tcW w:w="1330" w:type="dxa"/>
            <w:vAlign w:val="center"/>
          </w:tcPr>
          <w:p>
            <w:pPr>
              <w:spacing w:after="0" w:line="0" w:lineRule="atLeast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习题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41" w:type="dxa"/>
            <w:vAlign w:val="center"/>
          </w:tcPr>
          <w:p>
            <w:pPr>
              <w:spacing w:after="0" w:line="0" w:lineRule="atLeast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7-8</w:t>
            </w:r>
          </w:p>
        </w:tc>
        <w:tc>
          <w:tcPr>
            <w:tcW w:w="1709" w:type="dxa"/>
            <w:gridSpan w:val="2"/>
            <w:vAlign w:val="center"/>
          </w:tcPr>
          <w:p>
            <w:pPr>
              <w:spacing w:after="0" w:line="0" w:lineRule="atLeast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借贷记账法</w:t>
            </w:r>
          </w:p>
        </w:tc>
        <w:tc>
          <w:tcPr>
            <w:tcW w:w="620" w:type="dxa"/>
            <w:vAlign w:val="center"/>
          </w:tcPr>
          <w:p>
            <w:pPr>
              <w:spacing w:after="0" w:line="0" w:lineRule="atLeast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6</w:t>
            </w:r>
          </w:p>
        </w:tc>
        <w:tc>
          <w:tcPr>
            <w:tcW w:w="4017" w:type="dxa"/>
            <w:gridSpan w:val="3"/>
            <w:vAlign w:val="center"/>
          </w:tcPr>
          <w:p>
            <w:pPr>
              <w:spacing w:after="0" w:line="0" w:lineRule="atLeast"/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重点：借贷记账法的账户结构、会计分录</w:t>
            </w:r>
          </w:p>
          <w:p>
            <w:pPr>
              <w:spacing w:after="0" w:line="0" w:lineRule="atLeast"/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难点：借贷记账法的记账规则</w:t>
            </w:r>
          </w:p>
        </w:tc>
        <w:tc>
          <w:tcPr>
            <w:tcW w:w="984" w:type="dxa"/>
            <w:gridSpan w:val="2"/>
            <w:vAlign w:val="center"/>
          </w:tcPr>
          <w:p>
            <w:pPr>
              <w:spacing w:after="0" w:line="0" w:lineRule="atLeast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课堂讲授+小组讨论+实训</w:t>
            </w:r>
          </w:p>
        </w:tc>
        <w:tc>
          <w:tcPr>
            <w:tcW w:w="1330" w:type="dxa"/>
            <w:vAlign w:val="center"/>
          </w:tcPr>
          <w:p>
            <w:pPr>
              <w:spacing w:after="0" w:line="0" w:lineRule="atLeast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习题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41" w:type="dxa"/>
            <w:vAlign w:val="center"/>
          </w:tcPr>
          <w:p>
            <w:pPr>
              <w:spacing w:after="0" w:line="0" w:lineRule="atLeast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9-14</w:t>
            </w:r>
          </w:p>
        </w:tc>
        <w:tc>
          <w:tcPr>
            <w:tcW w:w="1709" w:type="dxa"/>
            <w:gridSpan w:val="2"/>
            <w:vAlign w:val="center"/>
          </w:tcPr>
          <w:p>
            <w:pPr>
              <w:spacing w:after="0" w:line="0" w:lineRule="atLeast"/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制造企业主要经济业务的核算</w:t>
            </w:r>
          </w:p>
        </w:tc>
        <w:tc>
          <w:tcPr>
            <w:tcW w:w="620" w:type="dxa"/>
            <w:vAlign w:val="center"/>
          </w:tcPr>
          <w:p>
            <w:pPr>
              <w:spacing w:after="0" w:line="0" w:lineRule="atLeast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16</w:t>
            </w:r>
          </w:p>
        </w:tc>
        <w:tc>
          <w:tcPr>
            <w:tcW w:w="4017" w:type="dxa"/>
            <w:gridSpan w:val="3"/>
            <w:vAlign w:val="center"/>
          </w:tcPr>
          <w:p>
            <w:pPr>
              <w:spacing w:after="0" w:line="0" w:lineRule="atLeast"/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重点：制造业企业常见的经济业务会计分录的编制</w:t>
            </w:r>
          </w:p>
          <w:p>
            <w:pPr>
              <w:spacing w:after="0" w:line="0" w:lineRule="atLeast"/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难点：生产过程、利润分配过程经济业务的核算</w:t>
            </w:r>
          </w:p>
        </w:tc>
        <w:tc>
          <w:tcPr>
            <w:tcW w:w="984" w:type="dxa"/>
            <w:gridSpan w:val="2"/>
            <w:vAlign w:val="center"/>
          </w:tcPr>
          <w:p>
            <w:pPr>
              <w:spacing w:after="0" w:line="0" w:lineRule="atLeast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课堂讲授+小组讨论+实训</w:t>
            </w:r>
          </w:p>
        </w:tc>
        <w:tc>
          <w:tcPr>
            <w:tcW w:w="1330" w:type="dxa"/>
            <w:vAlign w:val="center"/>
          </w:tcPr>
          <w:p>
            <w:pPr>
              <w:spacing w:after="0" w:line="0" w:lineRule="atLeast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习题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41" w:type="dxa"/>
            <w:vAlign w:val="center"/>
          </w:tcPr>
          <w:p>
            <w:pPr>
              <w:spacing w:after="0" w:line="0" w:lineRule="atLeast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14</w:t>
            </w:r>
          </w:p>
        </w:tc>
        <w:tc>
          <w:tcPr>
            <w:tcW w:w="1709" w:type="dxa"/>
            <w:gridSpan w:val="2"/>
            <w:vAlign w:val="center"/>
          </w:tcPr>
          <w:p>
            <w:pPr>
              <w:spacing w:after="0" w:line="0" w:lineRule="atLeast"/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期中考核</w:t>
            </w:r>
          </w:p>
        </w:tc>
        <w:tc>
          <w:tcPr>
            <w:tcW w:w="620" w:type="dxa"/>
            <w:vAlign w:val="center"/>
          </w:tcPr>
          <w:p>
            <w:pPr>
              <w:spacing w:after="0" w:line="0" w:lineRule="atLeast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4017" w:type="dxa"/>
            <w:gridSpan w:val="3"/>
            <w:vAlign w:val="center"/>
          </w:tcPr>
          <w:p>
            <w:pPr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期中复习，期中测验</w:t>
            </w:r>
          </w:p>
        </w:tc>
        <w:tc>
          <w:tcPr>
            <w:tcW w:w="984" w:type="dxa"/>
            <w:gridSpan w:val="2"/>
            <w:vAlign w:val="center"/>
          </w:tcPr>
          <w:p>
            <w:pPr>
              <w:spacing w:after="0" w:line="0" w:lineRule="atLeast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测验</w:t>
            </w:r>
          </w:p>
        </w:tc>
        <w:tc>
          <w:tcPr>
            <w:tcW w:w="1330" w:type="dxa"/>
            <w:vAlign w:val="center"/>
          </w:tcPr>
          <w:p>
            <w:pPr>
              <w:spacing w:after="0" w:line="0" w:lineRule="atLeast"/>
              <w:rPr>
                <w:rFonts w:ascii="宋体" w:hAnsi="宋体" w:eastAsia="宋体"/>
                <w:sz w:val="21"/>
                <w:szCs w:val="21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41" w:type="dxa"/>
            <w:tcBorders>
              <w:bottom w:val="single" w:color="auto" w:sz="4" w:space="0"/>
            </w:tcBorders>
            <w:vAlign w:val="center"/>
          </w:tcPr>
          <w:p>
            <w:pPr>
              <w:spacing w:after="0" w:line="0" w:lineRule="atLeast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15</w:t>
            </w:r>
          </w:p>
        </w:tc>
        <w:tc>
          <w:tcPr>
            <w:tcW w:w="1709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资产计价</w:t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、成本核算</w:t>
            </w:r>
          </w:p>
        </w:tc>
        <w:tc>
          <w:tcPr>
            <w:tcW w:w="620" w:type="dxa"/>
            <w:tcBorders>
              <w:bottom w:val="single" w:color="auto" w:sz="4" w:space="0"/>
            </w:tcBorders>
            <w:vAlign w:val="center"/>
          </w:tcPr>
          <w:p>
            <w:pPr>
              <w:spacing w:after="0" w:line="0" w:lineRule="atLeast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4017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spacing w:after="0" w:line="0" w:lineRule="atLeast"/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重点：存货、固定资产、应收款项的初始计量、减值准备，各项资产的减值；产品采购、生产、销售成本的核算</w:t>
            </w:r>
          </w:p>
          <w:p>
            <w:pPr>
              <w:spacing w:after="0" w:line="0" w:lineRule="atLeast"/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难点：存货、固定资产、应收款项常用计价方法的理解及应用</w:t>
            </w:r>
          </w:p>
        </w:tc>
        <w:tc>
          <w:tcPr>
            <w:tcW w:w="984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spacing w:after="0" w:line="0" w:lineRule="atLeast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课堂讲授+小组讨论</w:t>
            </w:r>
          </w:p>
        </w:tc>
        <w:tc>
          <w:tcPr>
            <w:tcW w:w="1330" w:type="dxa"/>
            <w:tcBorders>
              <w:bottom w:val="single" w:color="auto" w:sz="4" w:space="0"/>
            </w:tcBorders>
            <w:vAlign w:val="center"/>
          </w:tcPr>
          <w:p>
            <w:pPr>
              <w:spacing w:after="0" w:line="0" w:lineRule="atLeast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习题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0" w:lineRule="atLeast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16</w:t>
            </w:r>
          </w:p>
        </w:tc>
        <w:tc>
          <w:tcPr>
            <w:tcW w:w="17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0" w:lineRule="atLeast"/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会计核算组织程序、财产清查</w:t>
            </w:r>
          </w:p>
        </w:tc>
        <w:tc>
          <w:tcPr>
            <w:tcW w:w="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0" w:lineRule="atLeast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401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0" w:lineRule="atLeast"/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重点：账务处理的基本程序，记账凭证、汇总记账凭证、科目汇总表的核算组织程序；货币资金、存货、固定资产、债权等资产的清查及账务处理</w:t>
            </w:r>
          </w:p>
          <w:p>
            <w:pPr>
              <w:spacing w:after="0" w:line="0" w:lineRule="atLeast"/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难点：各种账务处理程序的理解及应用，清查结果的账务处理</w:t>
            </w:r>
          </w:p>
          <w:p>
            <w:pPr>
              <w:spacing w:after="0" w:line="0" w:lineRule="atLeast"/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课程思政融入点：财产清查是保证账实相符的会计核算方法，对于清查结果要按照正确的方法来进行账务处理，以保证会计资料真实可靠。</w:t>
            </w:r>
          </w:p>
        </w:tc>
        <w:tc>
          <w:tcPr>
            <w:tcW w:w="9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0" w:lineRule="atLeas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课堂讲授+小组讨论</w:t>
            </w:r>
          </w:p>
        </w:tc>
        <w:tc>
          <w:tcPr>
            <w:tcW w:w="13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0" w:lineRule="atLeast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color w:val="000000" w:themeColor="text1"/>
                <w:sz w:val="18"/>
                <w:szCs w:val="18"/>
                <w:lang w:eastAsia="zh-CN"/>
              </w:rPr>
              <w:t>课程思政作业</w:t>
            </w:r>
            <w:r>
              <w:rPr>
                <w:rFonts w:hint="eastAsia" w:eastAsiaTheme="minorEastAsia"/>
                <w:color w:val="000000" w:themeColor="text1"/>
                <w:sz w:val="18"/>
                <w:szCs w:val="18"/>
                <w:lang w:eastAsia="zh-CN"/>
              </w:rPr>
              <w:t>：每人找一个财产清查的案例进行分析并谈谈财产清查的意义。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0" w:lineRule="atLeast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17-19</w:t>
            </w:r>
          </w:p>
        </w:tc>
        <w:tc>
          <w:tcPr>
            <w:tcW w:w="17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财务</w:t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会计</w:t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报告</w:t>
            </w:r>
          </w:p>
        </w:tc>
        <w:tc>
          <w:tcPr>
            <w:tcW w:w="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0" w:lineRule="atLeast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7</w:t>
            </w:r>
          </w:p>
        </w:tc>
        <w:tc>
          <w:tcPr>
            <w:tcW w:w="401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0" w:lineRule="atLeast"/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重点：资产负债表、利润表的编制</w:t>
            </w:r>
          </w:p>
          <w:p>
            <w:pPr>
              <w:spacing w:after="0" w:line="0" w:lineRule="atLeast"/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难点：几种报表编制方法的理解及运用</w:t>
            </w:r>
          </w:p>
          <w:p>
            <w:pPr>
              <w:spacing w:after="0" w:line="0" w:lineRule="atLeast"/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课程思政融入点：编制会计报表要客观真实可靠，不伪造，不偏颇，不人为操控利润，为报表使用者服务。</w:t>
            </w:r>
          </w:p>
        </w:tc>
        <w:tc>
          <w:tcPr>
            <w:tcW w:w="9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0" w:lineRule="atLeast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课堂讲授+小组讨论</w:t>
            </w:r>
          </w:p>
        </w:tc>
        <w:tc>
          <w:tcPr>
            <w:tcW w:w="13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0" w:lineRule="atLeast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color w:val="000000" w:themeColor="text1"/>
                <w:sz w:val="18"/>
                <w:szCs w:val="18"/>
                <w:lang w:eastAsia="zh-CN"/>
              </w:rPr>
              <w:t>课程思政作业</w:t>
            </w:r>
            <w:r>
              <w:rPr>
                <w:rFonts w:hint="eastAsia" w:eastAsiaTheme="minorEastAsia"/>
                <w:color w:val="000000" w:themeColor="text1"/>
                <w:sz w:val="18"/>
                <w:szCs w:val="18"/>
                <w:lang w:eastAsia="zh-CN"/>
              </w:rPr>
              <w:t>：根据会计报表舞弊的案例分析会计报表造假的目的及严重危害。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0" w:lineRule="atLeast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19</w:t>
            </w:r>
          </w:p>
        </w:tc>
        <w:tc>
          <w:tcPr>
            <w:tcW w:w="17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复习</w:t>
            </w:r>
          </w:p>
        </w:tc>
        <w:tc>
          <w:tcPr>
            <w:tcW w:w="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0" w:lineRule="atLeast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401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0" w:lineRule="atLeast"/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课程</w:t>
            </w:r>
            <w:r>
              <w:rPr>
                <w:rFonts w:ascii="宋体" w:hAnsi="宋体" w:eastAsia="宋体"/>
                <w:sz w:val="21"/>
                <w:szCs w:val="21"/>
                <w:lang w:eastAsia="zh-CN"/>
              </w:rPr>
              <w:t>总结</w:t>
            </w: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，课程</w:t>
            </w:r>
            <w:r>
              <w:rPr>
                <w:rFonts w:ascii="宋体" w:hAnsi="宋体" w:eastAsia="宋体"/>
                <w:sz w:val="21"/>
                <w:szCs w:val="21"/>
                <w:lang w:eastAsia="zh-CN"/>
              </w:rPr>
              <w:t>答疑</w:t>
            </w:r>
          </w:p>
        </w:tc>
        <w:tc>
          <w:tcPr>
            <w:tcW w:w="9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0" w:lineRule="atLeast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课堂讲授</w:t>
            </w:r>
          </w:p>
        </w:tc>
        <w:tc>
          <w:tcPr>
            <w:tcW w:w="13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0" w:lineRule="atLeast"/>
              <w:rPr>
                <w:rFonts w:ascii="宋体" w:hAnsi="宋体" w:eastAsia="宋体"/>
                <w:sz w:val="21"/>
                <w:szCs w:val="21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450" w:type="dxa"/>
            <w:gridSpan w:val="3"/>
            <w:tcBorders>
              <w:top w:val="single" w:color="auto" w:sz="4" w:space="0"/>
            </w:tcBorders>
            <w:vAlign w:val="center"/>
          </w:tcPr>
          <w:p>
            <w:pPr>
              <w:spacing w:after="0" w:line="360" w:lineRule="exact"/>
              <w:jc w:val="right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b/>
                <w:sz w:val="21"/>
                <w:szCs w:val="21"/>
              </w:rPr>
              <w:t>合计：</w:t>
            </w:r>
          </w:p>
        </w:tc>
        <w:tc>
          <w:tcPr>
            <w:tcW w:w="620" w:type="dxa"/>
            <w:tcBorders>
              <w:top w:val="single" w:color="auto" w:sz="4" w:space="0"/>
            </w:tcBorders>
            <w:vAlign w:val="center"/>
          </w:tcPr>
          <w:p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48</w:t>
            </w:r>
          </w:p>
        </w:tc>
        <w:tc>
          <w:tcPr>
            <w:tcW w:w="4017" w:type="dxa"/>
            <w:gridSpan w:val="3"/>
            <w:tcBorders>
              <w:top w:val="single" w:color="auto" w:sz="4" w:space="0"/>
            </w:tcBorders>
            <w:vAlign w:val="center"/>
          </w:tcPr>
          <w:p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984" w:type="dxa"/>
            <w:gridSpan w:val="2"/>
            <w:tcBorders>
              <w:top w:val="single" w:color="auto" w:sz="4" w:space="0"/>
            </w:tcBorders>
            <w:vAlign w:val="center"/>
          </w:tcPr>
          <w:p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330" w:type="dxa"/>
            <w:tcBorders>
              <w:top w:val="single" w:color="auto" w:sz="4" w:space="0"/>
            </w:tcBorders>
            <w:vAlign w:val="center"/>
          </w:tcPr>
          <w:p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10"/>
            <w:shd w:val="clear" w:color="auto" w:fill="C0C0C0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jc w:val="center"/>
              <w:outlineLvl w:val="0"/>
              <w:rPr>
                <w:rFonts w:eastAsia="宋体"/>
                <w:b/>
                <w:szCs w:val="21"/>
                <w:lang w:eastAsia="zh-CN"/>
              </w:rPr>
            </w:pPr>
            <w:r>
              <w:rPr>
                <w:rFonts w:eastAsia="宋体"/>
                <w:b/>
                <w:szCs w:val="21"/>
                <w:lang w:eastAsia="zh-CN"/>
              </w:rPr>
              <w:t>成绩评定方法及标准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086" w:type="dxa"/>
            <w:gridSpan w:val="2"/>
            <w:vAlign w:val="center"/>
          </w:tcPr>
          <w:p>
            <w:pPr>
              <w:snapToGrid w:val="0"/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</w:rPr>
              <w:t>考核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形式</w:t>
            </w:r>
          </w:p>
        </w:tc>
        <w:tc>
          <w:tcPr>
            <w:tcW w:w="5744" w:type="dxa"/>
            <w:gridSpan w:val="6"/>
            <w:vAlign w:val="center"/>
          </w:tcPr>
          <w:p>
            <w:pPr>
              <w:snapToGrid w:val="0"/>
              <w:spacing w:after="0" w:line="360" w:lineRule="exact"/>
              <w:ind w:left="180"/>
              <w:jc w:val="center"/>
              <w:rPr>
                <w:rFonts w:eastAsia="宋体"/>
                <w:b/>
                <w:sz w:val="21"/>
                <w:szCs w:val="21"/>
              </w:rPr>
            </w:pPr>
            <w:r>
              <w:rPr>
                <w:rFonts w:eastAsia="宋体"/>
                <w:b/>
                <w:sz w:val="21"/>
                <w:szCs w:val="21"/>
              </w:rPr>
              <w:t>评价标准</w:t>
            </w:r>
          </w:p>
        </w:tc>
        <w:tc>
          <w:tcPr>
            <w:tcW w:w="1571" w:type="dxa"/>
            <w:gridSpan w:val="2"/>
            <w:vAlign w:val="center"/>
          </w:tcPr>
          <w:p>
            <w:pPr>
              <w:snapToGrid w:val="0"/>
              <w:spacing w:after="0" w:line="360" w:lineRule="exact"/>
              <w:ind w:left="180"/>
              <w:jc w:val="center"/>
              <w:rPr>
                <w:rFonts w:eastAsia="宋体"/>
                <w:b/>
                <w:sz w:val="21"/>
                <w:szCs w:val="21"/>
              </w:rPr>
            </w:pPr>
            <w:r>
              <w:rPr>
                <w:rFonts w:eastAsia="宋体"/>
                <w:b/>
                <w:sz w:val="21"/>
                <w:szCs w:val="21"/>
              </w:rPr>
              <w:t>权重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086" w:type="dxa"/>
            <w:gridSpan w:val="2"/>
            <w:vAlign w:val="center"/>
          </w:tcPr>
          <w:p>
            <w:pPr>
              <w:snapToGrid w:val="0"/>
              <w:spacing w:after="0" w:line="0" w:lineRule="atLeast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平时考勤、课后作业（百分制）</w:t>
            </w:r>
          </w:p>
        </w:tc>
        <w:tc>
          <w:tcPr>
            <w:tcW w:w="5744" w:type="dxa"/>
            <w:gridSpan w:val="6"/>
            <w:vAlign w:val="center"/>
          </w:tcPr>
          <w:p>
            <w:pPr>
              <w:snapToGrid w:val="0"/>
              <w:spacing w:after="0" w:line="0" w:lineRule="atLeast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按时上课，不迟到、早退（占平时成绩中的40分）不</w:t>
            </w:r>
            <w:r>
              <w:rPr>
                <w:rFonts w:ascii="宋体" w:hAnsi="宋体" w:eastAsia="宋体"/>
                <w:sz w:val="21"/>
                <w:szCs w:val="21"/>
                <w:lang w:eastAsia="zh-CN"/>
              </w:rPr>
              <w:t>抄袭，独立完成，</w:t>
            </w: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书</w:t>
            </w:r>
            <w:r>
              <w:rPr>
                <w:rFonts w:ascii="宋体" w:hAnsi="宋体" w:eastAsia="宋体"/>
                <w:sz w:val="21"/>
                <w:szCs w:val="21"/>
                <w:lang w:eastAsia="zh-CN"/>
              </w:rPr>
              <w:t>写工整，答题正确</w:t>
            </w: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（占平时成绩中的50分）</w:t>
            </w:r>
          </w:p>
        </w:tc>
        <w:tc>
          <w:tcPr>
            <w:tcW w:w="1571" w:type="dxa"/>
            <w:gridSpan w:val="2"/>
            <w:vAlign w:val="center"/>
          </w:tcPr>
          <w:p>
            <w:pPr>
              <w:snapToGrid w:val="0"/>
              <w:spacing w:after="0" w:line="0" w:lineRule="atLeast"/>
              <w:ind w:left="180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30%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086" w:type="dxa"/>
            <w:gridSpan w:val="2"/>
            <w:vAlign w:val="center"/>
          </w:tcPr>
          <w:p>
            <w:pPr>
              <w:snapToGrid w:val="0"/>
              <w:spacing w:after="0" w:line="0" w:lineRule="atLeast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期中测验（百分制）</w:t>
            </w:r>
          </w:p>
        </w:tc>
        <w:tc>
          <w:tcPr>
            <w:tcW w:w="5744" w:type="dxa"/>
            <w:gridSpan w:val="6"/>
            <w:vAlign w:val="center"/>
          </w:tcPr>
          <w:p>
            <w:pPr>
              <w:snapToGrid w:val="0"/>
              <w:spacing w:after="0" w:line="0" w:lineRule="atLeast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按照完成情况（占平时成绩中的10分）</w:t>
            </w:r>
          </w:p>
        </w:tc>
        <w:tc>
          <w:tcPr>
            <w:tcW w:w="1571" w:type="dxa"/>
            <w:gridSpan w:val="2"/>
            <w:vAlign w:val="center"/>
          </w:tcPr>
          <w:p>
            <w:pPr>
              <w:snapToGrid w:val="0"/>
              <w:spacing w:after="0" w:line="0" w:lineRule="atLeast"/>
              <w:ind w:left="180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10%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086" w:type="dxa"/>
            <w:gridSpan w:val="2"/>
            <w:vAlign w:val="center"/>
          </w:tcPr>
          <w:p>
            <w:pPr>
              <w:snapToGrid w:val="0"/>
              <w:spacing w:after="0" w:line="0" w:lineRule="atLeast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期末考试（百分制）</w:t>
            </w:r>
          </w:p>
        </w:tc>
        <w:tc>
          <w:tcPr>
            <w:tcW w:w="5744" w:type="dxa"/>
            <w:gridSpan w:val="6"/>
            <w:vAlign w:val="center"/>
          </w:tcPr>
          <w:p>
            <w:pPr>
              <w:snapToGrid w:val="0"/>
              <w:spacing w:after="0" w:line="0" w:lineRule="atLeas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书</w:t>
            </w:r>
            <w:r>
              <w:rPr>
                <w:rFonts w:ascii="宋体" w:hAnsi="宋体" w:eastAsia="宋体"/>
                <w:sz w:val="21"/>
                <w:szCs w:val="21"/>
                <w:lang w:eastAsia="zh-CN"/>
              </w:rPr>
              <w:t>写工整，</w:t>
            </w: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答题</w:t>
            </w:r>
            <w:r>
              <w:rPr>
                <w:rFonts w:ascii="宋体" w:hAnsi="宋体" w:eastAsia="宋体"/>
                <w:sz w:val="21"/>
                <w:szCs w:val="21"/>
                <w:lang w:eastAsia="zh-CN"/>
              </w:rPr>
              <w:t>正确</w:t>
            </w:r>
          </w:p>
        </w:tc>
        <w:tc>
          <w:tcPr>
            <w:tcW w:w="1571" w:type="dxa"/>
            <w:gridSpan w:val="2"/>
            <w:vAlign w:val="center"/>
          </w:tcPr>
          <w:p>
            <w:pPr>
              <w:snapToGrid w:val="0"/>
              <w:spacing w:after="0" w:line="0" w:lineRule="atLeast"/>
              <w:ind w:left="180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60%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10"/>
            <w:vAlign w:val="center"/>
          </w:tcPr>
          <w:p>
            <w:pPr>
              <w:snapToGrid w:val="0"/>
              <w:spacing w:after="0" w:line="0" w:lineRule="atLeast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注：总评成绩=平时成绩*30%++期中测验*10%+期末考试*60%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10"/>
            <w:vAlign w:val="center"/>
          </w:tcPr>
          <w:p>
            <w:pPr>
              <w:snapToGrid w:val="0"/>
              <w:spacing w:after="0" w:line="360" w:lineRule="exact"/>
              <w:ind w:left="18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t>大纲编写时间：</w:t>
            </w:r>
            <w:r>
              <w:rPr>
                <w:rFonts w:hint="eastAsia" w:ascii="宋体" w:hAnsi="宋体" w:eastAsia="宋体"/>
                <w:b/>
                <w:sz w:val="21"/>
                <w:szCs w:val="21"/>
                <w:lang w:eastAsia="zh-CN"/>
              </w:rPr>
              <w:t>2019年9月6日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51" w:hRule="atLeast"/>
          <w:jc w:val="center"/>
        </w:trPr>
        <w:tc>
          <w:tcPr>
            <w:tcW w:w="9401" w:type="dxa"/>
            <w:gridSpan w:val="10"/>
          </w:tcPr>
          <w:p>
            <w:pPr>
              <w:tabs>
                <w:tab w:val="left" w:pos="1440"/>
              </w:tabs>
              <w:spacing w:after="0" w:line="360" w:lineRule="exact"/>
              <w:jc w:val="left"/>
              <w:outlineLvl w:val="0"/>
              <w:rPr>
                <w:rFonts w:eastAsia="宋体"/>
                <w:b/>
                <w:szCs w:val="21"/>
                <w:lang w:eastAsia="zh-CN"/>
              </w:rPr>
            </w:pPr>
            <w:r>
              <w:rPr>
                <w:rFonts w:eastAsia="宋体"/>
                <w:b/>
                <w:szCs w:val="21"/>
                <w:lang w:eastAsia="zh-CN"/>
              </w:rPr>
              <w:t>系（部）审查意见：</w:t>
            </w:r>
          </w:p>
          <w:p>
            <w:pPr>
              <w:spacing w:after="0" w:line="360" w:lineRule="exact"/>
              <w:ind w:firstLine="57" w:firstLineChars="27"/>
              <w:jc w:val="left"/>
              <w:rPr>
                <w:rFonts w:eastAsia="宋体"/>
                <w:b/>
                <w:sz w:val="21"/>
                <w:szCs w:val="21"/>
                <w:lang w:eastAsia="zh-CN"/>
              </w:rPr>
            </w:pPr>
          </w:p>
          <w:p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bookmarkStart w:id="0" w:name="_GoBack"/>
            <w:r>
              <w:rPr>
                <w:rFonts w:hint="eastAsia" w:eastAsia="宋体"/>
                <w:sz w:val="21"/>
                <w:szCs w:val="21"/>
                <w:lang w:eastAsia="zh-CN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1278255</wp:posOffset>
                  </wp:positionH>
                  <wp:positionV relativeFrom="paragraph">
                    <wp:posOffset>158750</wp:posOffset>
                  </wp:positionV>
                  <wp:extent cx="1654175" cy="807085"/>
                  <wp:effectExtent l="0" t="0" r="3175" b="12065"/>
                  <wp:wrapSquare wrapText="bothSides"/>
                  <wp:docPr id="1" name="图片 1" descr="谢松霖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谢松霖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4175" cy="8070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bookmarkEnd w:id="0"/>
          </w:p>
          <w:p>
            <w:pPr>
              <w:spacing w:after="0" w:line="360" w:lineRule="exact"/>
              <w:ind w:right="420"/>
              <w:rPr>
                <w:rFonts w:eastAsia="宋体"/>
                <w:sz w:val="21"/>
                <w:szCs w:val="21"/>
                <w:lang w:eastAsia="zh-CN"/>
              </w:rPr>
            </w:pPr>
          </w:p>
          <w:p>
            <w:pPr>
              <w:wordWrap w:val="0"/>
              <w:spacing w:after="0" w:line="360" w:lineRule="exact"/>
              <w:ind w:right="420"/>
              <w:jc w:val="righ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/>
                <w:sz w:val="21"/>
                <w:szCs w:val="21"/>
                <w:lang w:eastAsia="zh-CN"/>
              </w:rPr>
              <w:t>系（部）主任签名：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 xml:space="preserve">            </w:t>
            </w:r>
            <w:r>
              <w:rPr>
                <w:rFonts w:eastAsia="宋体"/>
                <w:sz w:val="21"/>
                <w:szCs w:val="21"/>
                <w:lang w:eastAsia="zh-CN"/>
              </w:rPr>
              <w:t>日期：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 xml:space="preserve">       </w:t>
            </w:r>
            <w:r>
              <w:rPr>
                <w:rFonts w:eastAsia="宋体"/>
                <w:sz w:val="21"/>
                <w:szCs w:val="21"/>
                <w:lang w:eastAsia="zh-CN"/>
              </w:rPr>
              <w:t>年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 xml:space="preserve">   </w:t>
            </w:r>
            <w:r>
              <w:rPr>
                <w:rFonts w:eastAsia="宋体"/>
                <w:sz w:val="21"/>
                <w:szCs w:val="21"/>
                <w:lang w:eastAsia="zh-CN"/>
              </w:rPr>
              <w:t>月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 xml:space="preserve">    </w:t>
            </w:r>
            <w:r>
              <w:rPr>
                <w:rFonts w:eastAsia="宋体"/>
                <w:sz w:val="21"/>
                <w:szCs w:val="21"/>
                <w:lang w:eastAsia="zh-CN"/>
              </w:rPr>
              <w:t>日</w:t>
            </w:r>
          </w:p>
          <w:p>
            <w:pPr>
              <w:snapToGrid w:val="0"/>
              <w:spacing w:after="0" w:line="360" w:lineRule="exact"/>
              <w:ind w:left="180"/>
              <w:rPr>
                <w:rFonts w:eastAsia="宋体"/>
                <w:sz w:val="21"/>
                <w:szCs w:val="21"/>
                <w:lang w:eastAsia="zh-CN"/>
              </w:rPr>
            </w:pPr>
          </w:p>
        </w:tc>
      </w:tr>
    </w:tbl>
    <w:p>
      <w:pPr>
        <w:spacing w:after="0" w:line="360" w:lineRule="exact"/>
        <w:rPr>
          <w:rFonts w:eastAsiaTheme="minorEastAsia"/>
          <w:b/>
          <w:bCs/>
          <w:sz w:val="21"/>
          <w:szCs w:val="21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2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PMingLiU">
    <w:altName w:val="PMingLiU-ExtB"/>
    <w:panose1 w:val="02020500000000000000"/>
    <w:charset w:val="88"/>
    <w:family w:val="roman"/>
    <w:pitch w:val="default"/>
    <w:sig w:usb0="00000000" w:usb1="00000000" w:usb2="00000016" w:usb3="00000000" w:csb0="00100001" w:csb1="00000000"/>
  </w:font>
  <w:font w:name="DFKai-SB">
    <w:altName w:val="Microsoft JhengHei Light"/>
    <w:panose1 w:val="03000509000000000000"/>
    <w:charset w:val="88"/>
    <w:family w:val="script"/>
    <w:pitch w:val="default"/>
    <w:sig w:usb0="00000000" w:usb1="00000000" w:usb2="00000016" w:usb3="00000000" w:csb0="00100001" w:csb1="00000000"/>
  </w:font>
  <w:font w:name="CIDFont + F2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mbria Math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P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HorizontalSpacing w:val="120"/>
  <w:drawingGridVerticalSpacing w:val="163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2"/>
  </w:compat>
  <w:rsids>
    <w:rsidRoot w:val="2C23799B"/>
    <w:rsid w:val="000041EE"/>
    <w:rsid w:val="00031499"/>
    <w:rsid w:val="00041405"/>
    <w:rsid w:val="00061F27"/>
    <w:rsid w:val="0006698D"/>
    <w:rsid w:val="00071517"/>
    <w:rsid w:val="00087B74"/>
    <w:rsid w:val="000A200B"/>
    <w:rsid w:val="000A6952"/>
    <w:rsid w:val="000B626E"/>
    <w:rsid w:val="000C2D4A"/>
    <w:rsid w:val="000E0AE8"/>
    <w:rsid w:val="00113022"/>
    <w:rsid w:val="00155E5A"/>
    <w:rsid w:val="00171228"/>
    <w:rsid w:val="001B2F66"/>
    <w:rsid w:val="001B31E9"/>
    <w:rsid w:val="001C65C9"/>
    <w:rsid w:val="001D28E8"/>
    <w:rsid w:val="001E0D54"/>
    <w:rsid w:val="001F20BC"/>
    <w:rsid w:val="001F3ABD"/>
    <w:rsid w:val="002111AE"/>
    <w:rsid w:val="0022318D"/>
    <w:rsid w:val="002254E6"/>
    <w:rsid w:val="00227119"/>
    <w:rsid w:val="00243D26"/>
    <w:rsid w:val="00291611"/>
    <w:rsid w:val="00295970"/>
    <w:rsid w:val="002A251B"/>
    <w:rsid w:val="002C0D8F"/>
    <w:rsid w:val="002E27E1"/>
    <w:rsid w:val="003044FA"/>
    <w:rsid w:val="00322A5E"/>
    <w:rsid w:val="0036095B"/>
    <w:rsid w:val="0037561C"/>
    <w:rsid w:val="00380CC7"/>
    <w:rsid w:val="003C66D8"/>
    <w:rsid w:val="003D31AD"/>
    <w:rsid w:val="003D69D0"/>
    <w:rsid w:val="003E2BAB"/>
    <w:rsid w:val="003E66A6"/>
    <w:rsid w:val="00414FC8"/>
    <w:rsid w:val="00457E42"/>
    <w:rsid w:val="004718FD"/>
    <w:rsid w:val="004B3994"/>
    <w:rsid w:val="004D29DE"/>
    <w:rsid w:val="004D41D3"/>
    <w:rsid w:val="004D4D7F"/>
    <w:rsid w:val="004E0481"/>
    <w:rsid w:val="004E278D"/>
    <w:rsid w:val="004E7804"/>
    <w:rsid w:val="00527F10"/>
    <w:rsid w:val="005639AB"/>
    <w:rsid w:val="00575059"/>
    <w:rsid w:val="00577918"/>
    <w:rsid w:val="005805E8"/>
    <w:rsid w:val="005829AE"/>
    <w:rsid w:val="00584217"/>
    <w:rsid w:val="005911D3"/>
    <w:rsid w:val="005F174F"/>
    <w:rsid w:val="005F37B1"/>
    <w:rsid w:val="00631FA7"/>
    <w:rsid w:val="0063410F"/>
    <w:rsid w:val="0065651C"/>
    <w:rsid w:val="0066058B"/>
    <w:rsid w:val="006C408C"/>
    <w:rsid w:val="0070331B"/>
    <w:rsid w:val="00727E84"/>
    <w:rsid w:val="00735FDE"/>
    <w:rsid w:val="00761B69"/>
    <w:rsid w:val="00770F0D"/>
    <w:rsid w:val="00776AF2"/>
    <w:rsid w:val="00785779"/>
    <w:rsid w:val="007A154B"/>
    <w:rsid w:val="007E4319"/>
    <w:rsid w:val="00800D33"/>
    <w:rsid w:val="008147FF"/>
    <w:rsid w:val="00815F78"/>
    <w:rsid w:val="008512DF"/>
    <w:rsid w:val="00855020"/>
    <w:rsid w:val="0086430F"/>
    <w:rsid w:val="00885EED"/>
    <w:rsid w:val="00892ADC"/>
    <w:rsid w:val="00896971"/>
    <w:rsid w:val="008A7332"/>
    <w:rsid w:val="008B4200"/>
    <w:rsid w:val="008F6642"/>
    <w:rsid w:val="009039A7"/>
    <w:rsid w:val="00907E3A"/>
    <w:rsid w:val="009165CE"/>
    <w:rsid w:val="00917C66"/>
    <w:rsid w:val="00930C61"/>
    <w:rsid w:val="009349EE"/>
    <w:rsid w:val="00936F70"/>
    <w:rsid w:val="009622D8"/>
    <w:rsid w:val="009825FE"/>
    <w:rsid w:val="009A2B5C"/>
    <w:rsid w:val="009B3EAE"/>
    <w:rsid w:val="009B455F"/>
    <w:rsid w:val="009C3354"/>
    <w:rsid w:val="009D3079"/>
    <w:rsid w:val="009F31B8"/>
    <w:rsid w:val="009F7907"/>
    <w:rsid w:val="00A06998"/>
    <w:rsid w:val="00A15965"/>
    <w:rsid w:val="00A25ECC"/>
    <w:rsid w:val="00A30BBC"/>
    <w:rsid w:val="00A41C45"/>
    <w:rsid w:val="00A718F9"/>
    <w:rsid w:val="00A84D68"/>
    <w:rsid w:val="00A85774"/>
    <w:rsid w:val="00AA199F"/>
    <w:rsid w:val="00AB00C2"/>
    <w:rsid w:val="00AB43DF"/>
    <w:rsid w:val="00AB5269"/>
    <w:rsid w:val="00AB631D"/>
    <w:rsid w:val="00AC2F83"/>
    <w:rsid w:val="00AE48DD"/>
    <w:rsid w:val="00AF342D"/>
    <w:rsid w:val="00B02542"/>
    <w:rsid w:val="00B05FEC"/>
    <w:rsid w:val="00B06911"/>
    <w:rsid w:val="00B23DFD"/>
    <w:rsid w:val="00B82E41"/>
    <w:rsid w:val="00BB35F5"/>
    <w:rsid w:val="00C01B2C"/>
    <w:rsid w:val="00C06D81"/>
    <w:rsid w:val="00C1760A"/>
    <w:rsid w:val="00C20F26"/>
    <w:rsid w:val="00C34B8F"/>
    <w:rsid w:val="00C41D05"/>
    <w:rsid w:val="00C479CB"/>
    <w:rsid w:val="00C47FEC"/>
    <w:rsid w:val="00C705DD"/>
    <w:rsid w:val="00C71079"/>
    <w:rsid w:val="00C76FA2"/>
    <w:rsid w:val="00CA1AB8"/>
    <w:rsid w:val="00CC4A46"/>
    <w:rsid w:val="00CD10EA"/>
    <w:rsid w:val="00CD270A"/>
    <w:rsid w:val="00CD2F8F"/>
    <w:rsid w:val="00D03074"/>
    <w:rsid w:val="00D268B2"/>
    <w:rsid w:val="00D45246"/>
    <w:rsid w:val="00D62B41"/>
    <w:rsid w:val="00D75F7E"/>
    <w:rsid w:val="00D96CF7"/>
    <w:rsid w:val="00DB43AF"/>
    <w:rsid w:val="00DB45CF"/>
    <w:rsid w:val="00DB4CE8"/>
    <w:rsid w:val="00DB5724"/>
    <w:rsid w:val="00DC0918"/>
    <w:rsid w:val="00DC6725"/>
    <w:rsid w:val="00DF5C03"/>
    <w:rsid w:val="00E0505F"/>
    <w:rsid w:val="00E21004"/>
    <w:rsid w:val="00E37302"/>
    <w:rsid w:val="00E413E8"/>
    <w:rsid w:val="00E42434"/>
    <w:rsid w:val="00E53E23"/>
    <w:rsid w:val="00E96800"/>
    <w:rsid w:val="00EB0385"/>
    <w:rsid w:val="00EC2295"/>
    <w:rsid w:val="00ED3FCA"/>
    <w:rsid w:val="00F03B6B"/>
    <w:rsid w:val="00F31667"/>
    <w:rsid w:val="00F527DD"/>
    <w:rsid w:val="00F605A4"/>
    <w:rsid w:val="00F617C2"/>
    <w:rsid w:val="00F96D96"/>
    <w:rsid w:val="00FA0724"/>
    <w:rsid w:val="00FA5D95"/>
    <w:rsid w:val="00FC21FE"/>
    <w:rsid w:val="00FE22C8"/>
    <w:rsid w:val="121563ED"/>
    <w:rsid w:val="28AD1D92"/>
    <w:rsid w:val="2C23799B"/>
    <w:rsid w:val="62602DF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2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20"/>
      <w:jc w:val="both"/>
    </w:pPr>
    <w:rPr>
      <w:rFonts w:ascii="Times New Roman" w:hAnsi="Times New Roman" w:eastAsia="PMingLiU" w:cs="Times New Roman"/>
      <w:sz w:val="24"/>
      <w:szCs w:val="22"/>
      <w:lang w:val="en-US" w:eastAsia="en-US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5"/>
    <w:uiPriority w:val="0"/>
    <w:pPr>
      <w:spacing w:after="0"/>
    </w:pPr>
    <w:rPr>
      <w:sz w:val="18"/>
      <w:szCs w:val="18"/>
    </w:rPr>
  </w:style>
  <w:style w:type="paragraph" w:styleId="3">
    <w:name w:val="footer"/>
    <w:basedOn w:val="1"/>
    <w:link w:val="13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2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Emphasis"/>
    <w:basedOn w:val="7"/>
    <w:qFormat/>
    <w:uiPriority w:val="20"/>
    <w:rPr>
      <w:i/>
      <w:iCs/>
    </w:rPr>
  </w:style>
  <w:style w:type="character" w:styleId="9">
    <w:name w:val="Hyperlink"/>
    <w:basedOn w:val="7"/>
    <w:uiPriority w:val="0"/>
    <w:rPr>
      <w:color w:val="0563C1" w:themeColor="hyperlink"/>
      <w:u w:val="single"/>
    </w:rPr>
  </w:style>
  <w:style w:type="paragraph" w:customStyle="1" w:styleId="10">
    <w:name w:val="列出段落1"/>
    <w:basedOn w:val="1"/>
    <w:qFormat/>
    <w:uiPriority w:val="34"/>
    <w:pPr>
      <w:widowControl w:val="0"/>
      <w:spacing w:after="0"/>
      <w:ind w:left="480" w:leftChars="200"/>
      <w:jc w:val="left"/>
    </w:pPr>
    <w:rPr>
      <w:rFonts w:ascii="Calibri" w:hAnsi="Calibri" w:eastAsia="DFKai-SB"/>
      <w:kern w:val="2"/>
      <w:lang w:eastAsia="zh-TW"/>
    </w:rPr>
  </w:style>
  <w:style w:type="character" w:customStyle="1" w:styleId="11">
    <w:name w:val="fontstyle01"/>
    <w:basedOn w:val="7"/>
    <w:uiPriority w:val="0"/>
    <w:rPr>
      <w:rFonts w:ascii="CIDFont + F2" w:hAnsi="CIDFont + F2" w:eastAsia="CIDFont + F2" w:cs="CIDFont + F2"/>
      <w:color w:val="000000"/>
      <w:sz w:val="20"/>
      <w:szCs w:val="20"/>
    </w:rPr>
  </w:style>
  <w:style w:type="character" w:customStyle="1" w:styleId="12">
    <w:name w:val="页眉 Char"/>
    <w:basedOn w:val="7"/>
    <w:link w:val="4"/>
    <w:uiPriority w:val="0"/>
    <w:rPr>
      <w:rFonts w:eastAsia="PMingLiU"/>
      <w:sz w:val="18"/>
      <w:szCs w:val="18"/>
      <w:lang w:eastAsia="en-US"/>
    </w:rPr>
  </w:style>
  <w:style w:type="character" w:customStyle="1" w:styleId="13">
    <w:name w:val="页脚 Char"/>
    <w:basedOn w:val="7"/>
    <w:link w:val="3"/>
    <w:uiPriority w:val="0"/>
    <w:rPr>
      <w:rFonts w:eastAsia="PMingLiU"/>
      <w:sz w:val="18"/>
      <w:szCs w:val="18"/>
      <w:lang w:eastAsia="en-US"/>
    </w:rPr>
  </w:style>
  <w:style w:type="paragraph" w:styleId="14">
    <w:name w:val="List Paragraph"/>
    <w:basedOn w:val="1"/>
    <w:unhideWhenUsed/>
    <w:qFormat/>
    <w:uiPriority w:val="34"/>
    <w:pPr>
      <w:ind w:firstLine="420" w:firstLineChars="200"/>
    </w:pPr>
  </w:style>
  <w:style w:type="character" w:customStyle="1" w:styleId="15">
    <w:name w:val="批注框文本 Char"/>
    <w:basedOn w:val="7"/>
    <w:link w:val="2"/>
    <w:uiPriority w:val="0"/>
    <w:rPr>
      <w:rFonts w:eastAsia="PMingLiU"/>
      <w:sz w:val="18"/>
      <w:szCs w:val="18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0F4A63B-2D3A-440E-96AF-25DC9A135F8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3</Pages>
  <Words>335</Words>
  <Characters>1912</Characters>
  <Lines>15</Lines>
  <Paragraphs>4</Paragraphs>
  <TotalTime>1</TotalTime>
  <ScaleCrop>false</ScaleCrop>
  <LinksUpToDate>false</LinksUpToDate>
  <CharactersWithSpaces>2243</CharactersWithSpaces>
  <Application>WPS Office_11.1.0.8808_F1E327BC-269C-435d-A152-05C5408002CA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2019-09-12T08:10:00Z</dcterms:created>
  <dc:creator>lenovo</dc:creator>
  <cp:lastModifiedBy>落情湖</cp:lastModifiedBy>
  <cp:lastPrinted>2019-02-27T02:04:00Z</cp:lastPrinted>
  <dcterms:modified xsi:type="dcterms:W3CDTF">2019-09-27T03:31:48Z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2052-11.1.0.8808</vt:lpwstr>
  </property>
</Properties>
</file>