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 w:ascii="宋体" w:hAnsi="宋体"/>
          <w:b/>
          <w:sz w:val="32"/>
          <w:szCs w:val="32"/>
        </w:rPr>
        <w:t>设计素描</w:t>
      </w:r>
      <w:r>
        <w:rPr>
          <w:b/>
          <w:sz w:val="32"/>
          <w:szCs w:val="32"/>
        </w:rPr>
        <w:t>》教学大纲</w:t>
      </w:r>
    </w:p>
    <w:tbl>
      <w:tblPr>
        <w:tblStyle w:val="6"/>
        <w:tblW w:w="12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451"/>
        <w:gridCol w:w="945"/>
        <w:gridCol w:w="690"/>
        <w:gridCol w:w="180"/>
        <w:gridCol w:w="4276"/>
        <w:gridCol w:w="104"/>
        <w:gridCol w:w="1140"/>
        <w:gridCol w:w="1245"/>
        <w:gridCol w:w="624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68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>设计素描</w:t>
            </w:r>
          </w:p>
        </w:tc>
        <w:tc>
          <w:tcPr>
            <w:tcW w:w="467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>Design sketch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68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Cs w:val="21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068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67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机电楼素描室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color w:val="auto"/>
                <w:sz w:val="21"/>
                <w:szCs w:val="21"/>
              </w:rPr>
              <w:t>：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20级多媒体设计系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ascii="宋体" w:hAnsi="宋体" w:eastAsia="宋体"/>
                <w:szCs w:val="21"/>
              </w:rPr>
              <w:t>东莞理工学院粤台产业科技学院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多媒体设计</w:t>
            </w:r>
            <w:r>
              <w:rPr>
                <w:rFonts w:hint="eastAsia" w:ascii="宋体" w:hAnsi="宋体" w:eastAsia="宋体"/>
                <w:szCs w:val="21"/>
              </w:rPr>
              <w:t>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</w:rPr>
              <w:t>彭楠/中级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="宋体" w:hAnsi="宋体" w:eastAsia="宋体"/>
                <w:bCs/>
                <w:szCs w:val="21"/>
              </w:rPr>
              <w:t>设计素描表现与应用/蒲大圣 宋杨 著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ascii="宋体" w:hAnsi="宋体" w:eastAsia="宋体"/>
                <w:bCs/>
                <w:szCs w:val="21"/>
              </w:rPr>
              <w:t>自编课件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 w:ascii="宋体" w:hAnsi="宋体" w:eastAsia="宋体"/>
                <w:szCs w:val="21"/>
              </w:rPr>
              <w:t>本课程是本专业基础必修课之一。通过本课程的学习，使学生能够理解和把握从构图、透视原理到基本形体描绘，对复杂物象空间结构表现以及创造性素描的表现，最终形成完整的设计素描学习体系，提高其绘图能力和创新意识，为以后的专业设计打下基础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8172" w:type="dxa"/>
            <w:gridSpan w:val="7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掌握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设计素描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的定义、分类、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历史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发展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功能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表现手法等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掌握对实物形态的观察能力、表现能力、认识能力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1. 熟练掌握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线条的运用、明暗的描绘、透视的画法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能自主进行事物的描绘，有敏锐的观察能力、准确的表现力和丰富的艺术想象力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1. 培养学生具有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独立完成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、积极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练习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善于观察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探索研究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2. 养成理论联系实际、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融会贯通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、科学严谨、认真细致的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  <w:t>学习</w:t>
            </w:r>
            <w:r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  <w:t>态度和职业道德。</w:t>
            </w:r>
          </w:p>
        </w:tc>
        <w:tc>
          <w:tcPr>
            <w:tcW w:w="457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45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7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3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教学模式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21"/>
                <w:szCs w:val="21"/>
              </w:rPr>
              <w:t>教学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21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451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设计素描概论、</w:t>
            </w:r>
          </w:p>
          <w:p>
            <w:pPr>
              <w:spacing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立方体练习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掌握素描的基本理论知识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写生一个立方体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素描在我国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著名画家（徐悲鸿）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写生一个立方体</w:t>
            </w:r>
          </w:p>
          <w:p>
            <w:pPr>
              <w:spacing w:line="0" w:lineRule="atLeast"/>
              <w:jc w:val="both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徐悲鸿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透视原理及排线方式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讲解透视原理并绘制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教授排线手法并练习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著名画家（齐白石）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透视原理排线练习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齐白石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球体素描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讲解球体素描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教授球体素描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著名画家（黄宾虹）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球体素描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黄宾虹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圆柱体素描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讲解圆柱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体</w:t>
            </w:r>
            <w:r>
              <w:rPr>
                <w:rFonts w:hint="eastAsia" w:ascii="宋体" w:hAnsi="宋体" w:eastAsia="宋体"/>
                <w:szCs w:val="21"/>
              </w:rPr>
              <w:t>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教授圆柱体素描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画家（李可染）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圆柱</w:t>
            </w:r>
            <w:r>
              <w:rPr>
                <w:rFonts w:hint="eastAsia" w:ascii="宋体" w:hAnsi="宋体" w:eastAsia="宋体"/>
                <w:szCs w:val="21"/>
              </w:rPr>
              <w:t>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李可染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棱柱体、相贯体1素描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讲解棱柱体、相贯体素描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的特点和穿插方式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教授棱柱体、相贯体素描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画法和穿插方式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画家（张大千）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棱柱体、相贯体1素描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张大千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素描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讲解棱柱体、相贯体素描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的特点和穿插方式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教授棱柱体、相贯体素描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画法和穿插方式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画家（靳尚谊）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靳尚谊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几何体组合素描1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讲解几何体组合素描1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的特点和组合方式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教授几何体组合素描1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画法和组合方式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画家（潘天寿）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几何体组合素描1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潘天寿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几何体组合素描2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讲解几何体组合素描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的特点和组合方式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教授几何体组合素描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画法和组合方式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画家（傅抱石）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几何体组合素描2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傅抱石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罐子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</w:t>
            </w:r>
            <w:r>
              <w:rPr>
                <w:rFonts w:hint="eastAsia" w:ascii="宋体" w:hAnsi="宋体" w:eastAsia="宋体"/>
                <w:szCs w:val="21"/>
              </w:rPr>
              <w:t>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的特点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</w:t>
            </w:r>
            <w:r>
              <w:rPr>
                <w:rFonts w:hint="eastAsia" w:ascii="宋体" w:hAnsi="宋体" w:eastAsia="宋体"/>
                <w:szCs w:val="21"/>
              </w:rPr>
              <w:t>素描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画家（吴冠中）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罐子练习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吴冠中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花瓶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花瓶的特点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花瓶画法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画家（石鲁）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花瓶练习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石鲁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沐浴露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沐浴露瓶子的特点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沐浴露画法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画家（林风眠）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沐浴露练习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林风眠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饮料瓶的特点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画家（李苦禅）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李苦禅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+水果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水果素描的特点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+水果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著名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画家（吴昌硕）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的巨大贡献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和作品特色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饮料瓶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+水果练习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课程思政作业：要求学生每人至少阅读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篇与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吴昌硕</w:t>
            </w: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有关的文章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静物组合的特点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赏析一些表现“全民抗疫”的美术作品，让学生明白前线的不易，各行各业的努力，美术作品的意义。增强学生的奉献精神，提升学生努力拼搏、学以致用的品质。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自主创作体现抗疫的小习作一幅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讲解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静物组合的特点</w:t>
            </w:r>
          </w:p>
          <w:p>
            <w:pPr>
              <w:spacing w:line="0" w:lineRule="atLeast"/>
              <w:jc w:val="both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>教授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静物组合画法</w:t>
            </w:r>
            <w:r>
              <w:rPr>
                <w:rFonts w:hint="eastAsia" w:ascii="宋体" w:hAnsi="宋体" w:eastAsia="宋体"/>
                <w:szCs w:val="21"/>
              </w:rPr>
              <w:t>并练习</w:t>
            </w:r>
          </w:p>
          <w:p>
            <w:pPr>
              <w:spacing w:line="0" w:lineRule="atLeast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 w:val="0"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b/>
                <w:bCs w:val="0"/>
                <w:color w:val="auto"/>
                <w:sz w:val="21"/>
                <w:szCs w:val="21"/>
                <w:lang w:val="en-US" w:eastAsia="zh-CN"/>
              </w:rPr>
              <w:t>讲述在本次抗击新冠病毒中，制造业是如何突破困难，紧急改良设计投产，为处于危难中的国家做出贡献。让学生明白设计业的重要性，国计民生与行业发展也是息息相关的，每个岗位在社会大分工下都有其重要意义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讲授、实训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静物素描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静物组合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练习</w:t>
            </w:r>
          </w:p>
          <w:p>
            <w:pPr>
              <w:spacing w:line="0" w:lineRule="atLeast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阅读设计类人员在抗疫中的表现文章一篇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51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彭楠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38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期末考核</w:t>
            </w:r>
          </w:p>
          <w:p>
            <w:pPr>
              <w:spacing w:line="0" w:lineRule="atLeast"/>
              <w:jc w:val="both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 w:val="0"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eastAsiaTheme="minorEastAsia"/>
                <w:b/>
                <w:bCs w:val="0"/>
                <w:color w:val="auto"/>
                <w:sz w:val="21"/>
                <w:szCs w:val="21"/>
                <w:lang w:eastAsia="zh-CN"/>
              </w:rPr>
              <w:t>在抗击肺炎过程中，平面设计行业也出现了一大批高水准的平面、动画等作品，在第一时间向公众传达如何抗疫，并在媒体上广泛传播，为抗击新冠肺炎做出了非常卓越的贡献，教导学生要学以致用，为社会多做贡献。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实训</w:t>
            </w:r>
          </w:p>
        </w:tc>
        <w:tc>
          <w:tcPr>
            <w:tcW w:w="2190" w:type="dxa"/>
            <w:gridSpan w:val="2"/>
            <w:vAlign w:val="top"/>
          </w:tcPr>
          <w:p>
            <w:pPr>
              <w:spacing w:line="0" w:lineRule="atLeast"/>
              <w:jc w:val="both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期末考核</w:t>
            </w:r>
          </w:p>
          <w:p>
            <w:pPr>
              <w:spacing w:line="0" w:lineRule="atLeast"/>
              <w:jc w:val="both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auto"/>
                <w:sz w:val="21"/>
                <w:szCs w:val="21"/>
                <w:lang w:eastAsia="zh-CN"/>
              </w:rPr>
              <w:t>课程思政作业：要求学生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eastAsia="zh-CN"/>
              </w:rPr>
              <w:t>自行搜索</w:t>
            </w:r>
            <w:r>
              <w:rPr>
                <w:rFonts w:hint="eastAsia" w:eastAsiaTheme="minorEastAsia"/>
                <w:b/>
                <w:color w:val="auto"/>
                <w:sz w:val="21"/>
                <w:szCs w:val="21"/>
                <w:lang w:val="en-US" w:eastAsia="zh-CN"/>
              </w:rPr>
              <w:t>设并观看、解析抗疫类平面设计作品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2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3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4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7569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4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平時成績</w:t>
            </w:r>
          </w:p>
        </w:tc>
        <w:tc>
          <w:tcPr>
            <w:tcW w:w="7569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lang w:eastAsia="zh-TW"/>
              </w:rPr>
              <w:t>平时成绩依据出勤率、平时作业、课堂表现等情况打分。</w:t>
            </w:r>
          </w:p>
        </w:tc>
        <w:tc>
          <w:tcPr>
            <w:tcW w:w="1566" w:type="dxa"/>
            <w:vAlign w:val="center"/>
          </w:tcPr>
          <w:p>
            <w:pPr>
              <w:snapToGrid w:val="0"/>
              <w:spacing w:line="0" w:lineRule="atLeast"/>
              <w:ind w:left="180" w:left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PMingLiU"/>
                <w:szCs w:val="21"/>
                <w:lang w:eastAsia="zh-TW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4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期中考</w:t>
            </w:r>
          </w:p>
        </w:tc>
        <w:tc>
          <w:tcPr>
            <w:tcW w:w="7569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根据期中考试评分标准打分。</w:t>
            </w:r>
          </w:p>
        </w:tc>
        <w:tc>
          <w:tcPr>
            <w:tcW w:w="1566" w:type="dxa"/>
            <w:vAlign w:val="center"/>
          </w:tcPr>
          <w:p>
            <w:pPr>
              <w:snapToGrid w:val="0"/>
              <w:spacing w:line="0" w:lineRule="atLeast"/>
              <w:ind w:left="180" w:left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4"/>
            <w:vAlign w:val="center"/>
          </w:tcPr>
          <w:p>
            <w:pPr>
              <w:snapToGrid w:val="0"/>
              <w:spacing w:line="0" w:lineRule="atLeas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期末考</w:t>
            </w:r>
          </w:p>
        </w:tc>
        <w:tc>
          <w:tcPr>
            <w:tcW w:w="7569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根据期末考试评分标准打分。</w:t>
            </w:r>
          </w:p>
        </w:tc>
        <w:tc>
          <w:tcPr>
            <w:tcW w:w="1566" w:type="dxa"/>
            <w:vAlign w:val="center"/>
          </w:tcPr>
          <w:p>
            <w:pPr>
              <w:snapToGrid w:val="0"/>
              <w:spacing w:line="0" w:lineRule="atLeast"/>
              <w:ind w:left="180" w:left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PMingLiU"/>
                <w:szCs w:val="21"/>
                <w:lang w:eastAsia="zh-TW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4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569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4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569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1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宋体" w:hAnsi="宋体" w:eastAsia="宋体"/>
                <w:b/>
                <w:szCs w:val="21"/>
              </w:rPr>
              <w:t>20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年</w:t>
            </w:r>
            <w:r>
              <w:rPr>
                <w:rFonts w:hint="eastAsia" w:ascii="宋体" w:hAnsi="宋体" w:eastAsia="宋体"/>
                <w:b/>
                <w:szCs w:val="21"/>
              </w:rPr>
              <w:t>9</w:t>
            </w:r>
            <w:r>
              <w:rPr>
                <w:rFonts w:ascii="宋体" w:hAnsi="宋体" w:eastAsia="宋体"/>
                <w:b/>
                <w:szCs w:val="21"/>
              </w:rPr>
              <w:t>月</w:t>
            </w:r>
            <w:r>
              <w:rPr>
                <w:rFonts w:hint="eastAsia" w:ascii="宋体" w:hAnsi="宋体" w:eastAsia="宋体"/>
                <w:b/>
                <w:szCs w:val="21"/>
              </w:rPr>
              <w:t>9</w:t>
            </w:r>
            <w:r>
              <w:rPr>
                <w:rFonts w:ascii="宋体" w:hAnsi="宋体" w:eastAsia="宋体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12747" w:type="dxa"/>
            <w:gridSpan w:val="11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  </w:t>
            </w: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>
      <w:pgSz w:w="16838" w:h="11906" w:orient="landscape"/>
      <w:pgMar w:top="1230" w:right="1440" w:bottom="123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1DD115E"/>
    <w:rsid w:val="01F907F6"/>
    <w:rsid w:val="04093FD8"/>
    <w:rsid w:val="0E3274EE"/>
    <w:rsid w:val="13F97A13"/>
    <w:rsid w:val="172E0EDD"/>
    <w:rsid w:val="1C7C75EC"/>
    <w:rsid w:val="282A3AD7"/>
    <w:rsid w:val="28AD1D92"/>
    <w:rsid w:val="2C23799B"/>
    <w:rsid w:val="2D18429D"/>
    <w:rsid w:val="344118EC"/>
    <w:rsid w:val="362602AB"/>
    <w:rsid w:val="3E6F3763"/>
    <w:rsid w:val="43A032F2"/>
    <w:rsid w:val="45125F3F"/>
    <w:rsid w:val="4E2B4318"/>
    <w:rsid w:val="5174454A"/>
    <w:rsid w:val="58090812"/>
    <w:rsid w:val="5AEF0462"/>
    <w:rsid w:val="5E833FA3"/>
    <w:rsid w:val="607C6998"/>
    <w:rsid w:val="62602DFF"/>
    <w:rsid w:val="66C436F6"/>
    <w:rsid w:val="66D05C13"/>
    <w:rsid w:val="6759103C"/>
    <w:rsid w:val="6C6A6E1C"/>
    <w:rsid w:val="71352C8F"/>
    <w:rsid w:val="787A0823"/>
    <w:rsid w:val="7CD71DF1"/>
    <w:rsid w:val="7D8D0F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szCs w:val="24"/>
      <w:lang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</w:rPr>
  </w:style>
  <w:style w:type="paragraph" w:customStyle="1" w:styleId="11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2">
    <w:name w:val="fontstyle01"/>
    <w:basedOn w:val="8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3">
    <w:name w:val="页眉 Char"/>
    <w:basedOn w:val="8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页脚 Char"/>
    <w:basedOn w:val="8"/>
    <w:link w:val="3"/>
    <w:uiPriority w:val="0"/>
    <w:rPr>
      <w:rFonts w:eastAsia="PMingLiU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批注框文本 Char"/>
    <w:basedOn w:val="8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CEB9D5-E351-498F-B950-4DE4C4614E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351</Words>
  <Characters>2003</Characters>
  <Lines>16</Lines>
  <Paragraphs>4</Paragraphs>
  <TotalTime>4</TotalTime>
  <ScaleCrop>false</ScaleCrop>
  <LinksUpToDate>false</LinksUpToDate>
  <CharactersWithSpaces>2350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Administrator</cp:lastModifiedBy>
  <cp:lastPrinted>2017-01-05T16:24:00Z</cp:lastPrinted>
  <dcterms:modified xsi:type="dcterms:W3CDTF">2020-09-09T03:11:31Z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